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sz w:val="40"/>
          <w:szCs w:val="40"/>
          <w:lang w:val="en-US" w:eastAsia="zh-CN"/>
        </w:rPr>
      </w:pPr>
      <w:r>
        <w:rPr>
          <w:rFonts w:hint="eastAsia" w:ascii="华文中宋" w:hAnsi="华文中宋" w:eastAsia="华文中宋" w:cs="华文中宋"/>
          <w:b/>
          <w:bCs/>
          <w:sz w:val="40"/>
          <w:szCs w:val="40"/>
          <w:lang w:val="en-US" w:eastAsia="zh-CN"/>
        </w:rPr>
        <w:t>普陀区卫生健康局2021年政府信息公开工作年度报告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sz w:val="40"/>
          <w:szCs w:val="40"/>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top"/>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普陀区卫生健康局在区委、区政府的正确领导下，紧紧围绕政务公开工作要点和群众关注关切的现实问题，不断完善政务公开制度，不断提升政务公开信息内容和服务水平，让人民群众的知情权、参与权、监督权和表达权真正得以保障。现将我局2021年政府信息公开工作年度报告如下：</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top"/>
        <w:rPr>
          <w:rFonts w:hint="eastAsia" w:ascii="仿宋_GB2312" w:hAnsi="仿宋_GB2312" w:eastAsia="仿宋_GB2312" w:cs="仿宋_GB2312"/>
          <w:sz w:val="32"/>
          <w:szCs w:val="32"/>
          <w:lang w:val="en-US" w:eastAsia="zh-CN"/>
        </w:rPr>
      </w:pPr>
      <w:r>
        <w:rPr>
          <w:rStyle w:val="5"/>
          <w:rFonts w:ascii="黑体" w:hAnsi="黑体" w:eastAsia="黑体" w:cs="Arial"/>
          <w:b w:val="0"/>
          <w:color w:val="000000"/>
          <w:sz w:val="32"/>
          <w:szCs w:val="32"/>
          <w:shd w:val="clear" w:color="auto" w:fill="FFFFFF"/>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（一）完善组织体系建设。</w:t>
      </w:r>
      <w:r>
        <w:rPr>
          <w:rFonts w:hint="eastAsia" w:ascii="仿宋_GB2312" w:hAnsi="仿宋_GB2312" w:eastAsia="仿宋_GB2312" w:cs="仿宋_GB2312"/>
          <w:sz w:val="32"/>
          <w:szCs w:val="32"/>
          <w:lang w:val="en-US" w:eastAsia="zh-CN"/>
        </w:rPr>
        <w:t>我局高度重视政务公开工作，将政务公开工作与全局中心任务同推进、同部署、同落实。明确办公室牵头负责政务公开工作的日常管理，各职能科室负责需要公开的具体信息内容，医政科教科负责信息的定期发布和汇总统计，</w:t>
      </w:r>
      <w:r>
        <w:rPr>
          <w:rFonts w:hint="eastAsia" w:ascii="仿宋_GB2312" w:hAnsi="仿宋_GB2312" w:eastAsia="仿宋_GB2312" w:cs="仿宋_GB2312"/>
          <w:sz w:val="32"/>
          <w:szCs w:val="40"/>
          <w:lang w:val="en-US" w:eastAsia="zh-CN"/>
        </w:rPr>
        <w:t>实现全局有人管、大事有人抓、工作有人做的良好工作格局。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40"/>
          <w:lang w:val="en-US" w:eastAsia="zh-CN"/>
        </w:rPr>
      </w:pPr>
      <w:r>
        <w:rPr>
          <w:rFonts w:hint="eastAsia" w:ascii="楷体_GB2312" w:hAnsi="楷体_GB2312" w:eastAsia="楷体_GB2312" w:cs="楷体_GB2312"/>
          <w:b/>
          <w:bCs/>
          <w:sz w:val="32"/>
          <w:szCs w:val="32"/>
          <w:lang w:val="en-US" w:eastAsia="zh-CN"/>
        </w:rPr>
        <w:t>（二）增强信息公开质量。</w:t>
      </w:r>
      <w:r>
        <w:rPr>
          <w:rFonts w:hint="eastAsia" w:ascii="仿宋_GB2312" w:hAnsi="仿宋_GB2312" w:eastAsia="仿宋_GB2312" w:cs="仿宋_GB2312"/>
          <w:sz w:val="32"/>
          <w:szCs w:val="40"/>
          <w:lang w:val="en-US" w:eastAsia="zh-CN"/>
        </w:rPr>
        <w:t>始终坚持以公开为常态、不公开为例外的原则，不断加强政务公开信息管理，全面规范政务信息制作、获取、保存、公开等流程，确保信息发布的时效性、完整性和真实性。</w:t>
      </w:r>
      <w:r>
        <w:rPr>
          <w:rFonts w:hint="eastAsia" w:ascii="仿宋_GB2312" w:hAnsi="仿宋_GB2312" w:eastAsia="仿宋_GB2312" w:cs="仿宋_GB2312"/>
          <w:b/>
          <w:bCs/>
          <w:sz w:val="32"/>
          <w:szCs w:val="40"/>
          <w:lang w:val="en-US" w:eastAsia="zh-CN"/>
        </w:rPr>
        <w:t>推进决策公开。</w:t>
      </w:r>
      <w:r>
        <w:rPr>
          <w:rFonts w:hint="eastAsia" w:ascii="仿宋_GB2312" w:hAnsi="仿宋_GB2312" w:eastAsia="仿宋_GB2312" w:cs="仿宋_GB2312"/>
          <w:sz w:val="32"/>
          <w:szCs w:val="40"/>
          <w:lang w:val="en-US" w:eastAsia="zh-CN"/>
        </w:rPr>
        <w:t>围绕重大政策落地实施，及时发布权威信息，深入开展专业解读；围绕月度、季度、年度工作动态，定期发布月小结、年度总结等工作报告，全面展示全局当月、当年工作进展，向群众持续释放卫生健康事业高质量发展的积极信号。2021年，累计发布当月计划和下月小结12条次。</w:t>
      </w:r>
      <w:r>
        <w:rPr>
          <w:rFonts w:hint="eastAsia" w:ascii="仿宋_GB2312" w:hAnsi="仿宋_GB2312" w:eastAsia="仿宋_GB2312" w:cs="仿宋_GB2312"/>
          <w:b/>
          <w:bCs/>
          <w:sz w:val="32"/>
          <w:szCs w:val="40"/>
          <w:lang w:val="en-US" w:eastAsia="zh-CN"/>
        </w:rPr>
        <w:t>推进执行公开。</w:t>
      </w:r>
      <w:r>
        <w:rPr>
          <w:rFonts w:hint="eastAsia" w:ascii="仿宋_GB2312" w:hAnsi="仿宋_GB2312" w:eastAsia="仿宋_GB2312" w:cs="仿宋_GB2312"/>
          <w:sz w:val="32"/>
          <w:szCs w:val="40"/>
          <w:lang w:val="en-US" w:eastAsia="zh-CN"/>
        </w:rPr>
        <w:t>围绕系统重点工作，通过政府信息公开平台和“健康普陀”微信公众号及时发布公共场所卫生、传染病疫情及防治、医疗保障等基本医疗卫生领域信息，主动公开上级和本级决策部署落实情况以及取得的阶段性成效、下步计划等。对社会关注度高的信息内容，加快数据更新和内容创新，进一步扩大政府信息传播范围和受众覆盖面。2021年，累计在政府信息公开平台上发布信息299条，在“健康普陀”微信公众号上发布信息（政务类）53条。</w:t>
      </w:r>
      <w:r>
        <w:rPr>
          <w:rFonts w:hint="eastAsia" w:ascii="仿宋_GB2312" w:hAnsi="仿宋_GB2312" w:eastAsia="仿宋_GB2312" w:cs="仿宋_GB2312"/>
          <w:b/>
          <w:bCs/>
          <w:sz w:val="32"/>
          <w:szCs w:val="40"/>
          <w:lang w:val="en-US" w:eastAsia="zh-CN"/>
        </w:rPr>
        <w:t>推进行政执法信息公开。</w:t>
      </w:r>
      <w:r>
        <w:rPr>
          <w:rFonts w:hint="eastAsia" w:ascii="仿宋_GB2312" w:hAnsi="仿宋_GB2312" w:eastAsia="仿宋_GB2312" w:cs="仿宋_GB2312"/>
          <w:sz w:val="32"/>
          <w:szCs w:val="40"/>
          <w:lang w:val="en-US" w:eastAsia="zh-CN"/>
        </w:rPr>
        <w:t>落实权责清单制度，对照权责清单目录，及时调整政府信息公开平台服务事项和办事指南，根据工作进展或时间节点公开各事项办理结果。2021年，累计发布医疗广告审查、“双随机”、水质检测结等公告公示97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40"/>
          <w:lang w:val="en-US" w:eastAsia="zh-CN"/>
        </w:rPr>
      </w:pPr>
      <w:r>
        <w:rPr>
          <w:rFonts w:hint="eastAsia" w:ascii="楷体_GB2312" w:hAnsi="楷体_GB2312" w:eastAsia="楷体_GB2312" w:cs="楷体_GB2312"/>
          <w:b/>
          <w:bCs/>
          <w:sz w:val="32"/>
          <w:szCs w:val="32"/>
          <w:lang w:val="en-US" w:eastAsia="zh-CN"/>
        </w:rPr>
        <w:t>（三）做好涉疫信息公开。</w:t>
      </w:r>
      <w:r>
        <w:rPr>
          <w:rFonts w:hint="eastAsia" w:ascii="仿宋_GB2312" w:hAnsi="仿宋_GB2312" w:eastAsia="仿宋_GB2312" w:cs="仿宋_GB2312"/>
          <w:sz w:val="32"/>
          <w:szCs w:val="40"/>
          <w:lang w:val="en-US" w:eastAsia="zh-CN"/>
        </w:rPr>
        <w:t>在科学有序做好疫情防控工作的同时，</w:t>
      </w:r>
      <w:r>
        <w:rPr>
          <w:rFonts w:hint="eastAsia" w:ascii="仿宋_GB2312" w:hAnsi="仿宋_GB2312" w:eastAsia="仿宋_GB2312" w:cs="仿宋_GB2312"/>
          <w:sz w:val="32"/>
          <w:szCs w:val="32"/>
          <w:lang w:val="en-US" w:eastAsia="zh-CN"/>
        </w:rPr>
        <w:t>坚持“生命至上、实事求是，依法发布、分级负责，公开透明、科学规范”原则，做好疫情防控信息公开工作。充分利用多方渠道、多个平台和多种形式，及时、准确发布疫苗接种、散发疫情、隔离管控、流调溯源、精准防控、冷链物流、假期人员流动等相关信息，权威解读相关政策，主动回应社会关切，精准说明防控措施。</w:t>
      </w:r>
      <w:r>
        <w:rPr>
          <w:rFonts w:hint="eastAsia" w:ascii="仿宋_GB2312" w:hAnsi="仿宋_GB2312" w:eastAsia="仿宋_GB2312" w:cs="仿宋_GB2312"/>
          <w:sz w:val="32"/>
          <w:szCs w:val="32"/>
        </w:rPr>
        <w:t>大力推动健康科学知识的普及传播，使健康生活理念更加深入人心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特别是加大对疫苗接种工作的宣传引导力度，重点讲解疫苗接种禁忌、注意事项等，切实消除群众顾虑。</w:t>
      </w:r>
      <w:r>
        <w:rPr>
          <w:rFonts w:hint="eastAsia" w:ascii="仿宋_GB2312" w:hAnsi="仿宋_GB2312" w:eastAsia="仿宋_GB2312" w:cs="仿宋_GB2312"/>
          <w:sz w:val="32"/>
          <w:szCs w:val="40"/>
          <w:lang w:val="en-US" w:eastAsia="zh-CN"/>
        </w:rPr>
        <w:t>2021年，累计在政府信息公开平台上发布涉疫信息近20条，在“健康普陀”微信公众号上发布涉疫信息63条。</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top"/>
        <w:rPr>
          <w:rStyle w:val="5"/>
          <w:rFonts w:ascii="黑体" w:hAnsi="黑体" w:eastAsia="黑体" w:cs="Arial"/>
          <w:b w:val="0"/>
          <w:color w:val="000000"/>
          <w:sz w:val="32"/>
          <w:szCs w:val="32"/>
          <w:shd w:val="clear" w:color="auto" w:fill="FFFFFF"/>
        </w:rPr>
      </w:pPr>
      <w:r>
        <w:rPr>
          <w:rStyle w:val="5"/>
          <w:rFonts w:ascii="黑体" w:hAnsi="黑体" w:eastAsia="黑体" w:cs="Arial"/>
          <w:b w:val="0"/>
          <w:color w:val="000000"/>
          <w:sz w:val="32"/>
          <w:szCs w:val="32"/>
          <w:shd w:val="clear" w:color="auto" w:fill="FFFFFF"/>
        </w:rPr>
        <w:t>二、主动公开政府信息情况</w:t>
      </w:r>
    </w:p>
    <w:tbl>
      <w:tblPr>
        <w:tblStyle w:val="3"/>
        <w:tblW w:w="9189" w:type="dxa"/>
        <w:jc w:val="center"/>
        <w:tblLayout w:type="fixed"/>
        <w:tblCellMar>
          <w:top w:w="0" w:type="dxa"/>
          <w:left w:w="0" w:type="dxa"/>
          <w:bottom w:w="0" w:type="dxa"/>
          <w:right w:w="0" w:type="dxa"/>
        </w:tblCellMar>
      </w:tblPr>
      <w:tblGrid>
        <w:gridCol w:w="2474"/>
        <w:gridCol w:w="2275"/>
        <w:gridCol w:w="2177"/>
        <w:gridCol w:w="2263"/>
      </w:tblGrid>
      <w:tr>
        <w:tblPrEx>
          <w:tblCellMar>
            <w:top w:w="0" w:type="dxa"/>
            <w:left w:w="0" w:type="dxa"/>
            <w:bottom w:w="0" w:type="dxa"/>
            <w:right w:w="0" w:type="dxa"/>
          </w:tblCellMar>
        </w:tblPrEx>
        <w:trPr>
          <w:trHeight w:val="474" w:hRule="exact"/>
          <w:jc w:val="center"/>
        </w:trPr>
        <w:tc>
          <w:tcPr>
            <w:tcW w:w="9189"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bottom"/>
          </w:tcPr>
          <w:p>
            <w:pPr>
              <w:widowControl/>
              <w:spacing w:line="320" w:lineRule="exact"/>
              <w:jc w:val="center"/>
              <w:rPr>
                <w:rFonts w:ascii="宋体" w:hAnsi="宋体" w:cs="宋体"/>
                <w:bCs/>
                <w:sz w:val="24"/>
                <w:szCs w:val="24"/>
              </w:rPr>
            </w:pPr>
            <w:r>
              <w:rPr>
                <w:rFonts w:hint="eastAsia" w:ascii="宋体" w:hAnsi="宋体" w:cs="宋体"/>
                <w:bCs/>
                <w:kern w:val="0"/>
                <w:sz w:val="24"/>
                <w:szCs w:val="24"/>
              </w:rPr>
              <w:t>第二十条第（一）项</w:t>
            </w:r>
          </w:p>
        </w:tc>
      </w:tr>
      <w:tr>
        <w:tblPrEx>
          <w:tblCellMar>
            <w:top w:w="0" w:type="dxa"/>
            <w:left w:w="0" w:type="dxa"/>
            <w:bottom w:w="0" w:type="dxa"/>
            <w:right w:w="0" w:type="dxa"/>
          </w:tblCellMar>
        </w:tblPrEx>
        <w:trPr>
          <w:trHeight w:val="485" w:hRule="exact"/>
          <w:jc w:val="center"/>
        </w:trPr>
        <w:tc>
          <w:tcPr>
            <w:tcW w:w="247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kern w:val="0"/>
                <w:sz w:val="24"/>
                <w:szCs w:val="24"/>
              </w:rPr>
              <w:t>信息内容</w:t>
            </w:r>
          </w:p>
        </w:tc>
        <w:tc>
          <w:tcPr>
            <w:tcW w:w="22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kern w:val="0"/>
                <w:sz w:val="24"/>
                <w:szCs w:val="24"/>
              </w:rPr>
              <w:t>本年制发件数</w:t>
            </w:r>
          </w:p>
        </w:tc>
        <w:tc>
          <w:tcPr>
            <w:tcW w:w="21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spacing w:val="-20"/>
                <w:kern w:val="0"/>
                <w:sz w:val="24"/>
                <w:szCs w:val="24"/>
              </w:rPr>
              <w:t>本年废止件数</w:t>
            </w:r>
          </w:p>
        </w:tc>
        <w:tc>
          <w:tcPr>
            <w:tcW w:w="2263"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kern w:val="0"/>
                <w:sz w:val="24"/>
                <w:szCs w:val="24"/>
              </w:rPr>
              <w:t>现行有效件数</w:t>
            </w:r>
          </w:p>
        </w:tc>
      </w:tr>
      <w:tr>
        <w:tblPrEx>
          <w:tblCellMar>
            <w:top w:w="0" w:type="dxa"/>
            <w:left w:w="0" w:type="dxa"/>
            <w:bottom w:w="0" w:type="dxa"/>
            <w:right w:w="0" w:type="dxa"/>
          </w:tblCellMar>
        </w:tblPrEx>
        <w:trPr>
          <w:trHeight w:val="485" w:hRule="exact"/>
          <w:jc w:val="center"/>
        </w:trPr>
        <w:tc>
          <w:tcPr>
            <w:tcW w:w="247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left"/>
              <w:rPr>
                <w:rFonts w:ascii="宋体" w:hAnsi="宋体" w:cs="宋体"/>
                <w:bCs/>
                <w:kern w:val="0"/>
                <w:sz w:val="24"/>
                <w:szCs w:val="24"/>
              </w:rPr>
            </w:pPr>
            <w:r>
              <w:rPr>
                <w:rFonts w:hint="eastAsia" w:ascii="宋体" w:hAnsi="宋体" w:cs="宋体"/>
                <w:bCs/>
                <w:kern w:val="0"/>
                <w:sz w:val="24"/>
                <w:szCs w:val="24"/>
              </w:rPr>
              <w:t>规章</w:t>
            </w:r>
          </w:p>
        </w:tc>
        <w:tc>
          <w:tcPr>
            <w:tcW w:w="22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ascii="宋体" w:hAnsi="宋体" w:cs="宋体"/>
                <w:bCs/>
                <w:kern w:val="0"/>
                <w:sz w:val="24"/>
                <w:szCs w:val="24"/>
              </w:rPr>
            </w:pPr>
            <w:r>
              <w:rPr>
                <w:rFonts w:hint="eastAsia" w:ascii="Times New Roman" w:hAnsi="Times New Roman" w:cs="宋体" w:eastAsiaTheme="minorEastAsia"/>
                <w:bCs/>
                <w:sz w:val="22"/>
                <w:lang w:val="en-US" w:eastAsia="zh-CN"/>
              </w:rPr>
              <w:t>0</w:t>
            </w:r>
          </w:p>
        </w:tc>
        <w:tc>
          <w:tcPr>
            <w:tcW w:w="21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pacing w:val="-20"/>
                <w:kern w:val="0"/>
                <w:sz w:val="24"/>
                <w:szCs w:val="24"/>
              </w:rPr>
            </w:pPr>
            <w:r>
              <w:rPr>
                <w:rFonts w:hint="eastAsia" w:ascii="Times New Roman" w:hAnsi="Times New Roman" w:cs="宋体" w:eastAsiaTheme="minorEastAsia"/>
                <w:bCs/>
                <w:sz w:val="22"/>
                <w:lang w:val="en-US" w:eastAsia="zh-CN"/>
              </w:rPr>
              <w:t>0</w:t>
            </w:r>
          </w:p>
        </w:tc>
        <w:tc>
          <w:tcPr>
            <w:tcW w:w="2263"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ascii="宋体" w:hAnsi="宋体" w:cs="宋体"/>
                <w:bCs/>
                <w:kern w:val="0"/>
                <w:sz w:val="24"/>
                <w:szCs w:val="24"/>
              </w:rPr>
            </w:pPr>
            <w:r>
              <w:rPr>
                <w:rFonts w:hint="eastAsia" w:ascii="Times New Roman" w:hAnsi="Times New Roman" w:cs="宋体" w:eastAsiaTheme="minorEastAsia"/>
                <w:bCs/>
                <w:sz w:val="22"/>
                <w:lang w:val="en-US" w:eastAsia="zh-CN"/>
              </w:rPr>
              <w:t>0</w:t>
            </w:r>
          </w:p>
        </w:tc>
      </w:tr>
      <w:tr>
        <w:tblPrEx>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left"/>
              <w:rPr>
                <w:rFonts w:ascii="宋体" w:hAnsi="宋体" w:cs="宋体"/>
                <w:bCs/>
                <w:sz w:val="24"/>
                <w:szCs w:val="24"/>
              </w:rPr>
            </w:pPr>
            <w:r>
              <w:rPr>
                <w:rFonts w:hint="eastAsia" w:ascii="宋体" w:hAnsi="宋体" w:cs="宋体"/>
                <w:bCs/>
                <w:sz w:val="24"/>
                <w:szCs w:val="24"/>
              </w:rPr>
              <w:t>行政规范性文件</w:t>
            </w:r>
          </w:p>
        </w:tc>
        <w:tc>
          <w:tcPr>
            <w:tcW w:w="22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hint="eastAsia" w:ascii="宋体" w:hAnsi="宋体" w:cs="宋体" w:eastAsiaTheme="minorEastAsia"/>
                <w:bCs/>
                <w:sz w:val="24"/>
                <w:szCs w:val="24"/>
                <w:lang w:val="en-US" w:eastAsia="zh-CN"/>
              </w:rPr>
            </w:pPr>
            <w:r>
              <w:rPr>
                <w:rFonts w:hint="eastAsia" w:ascii="Times New Roman" w:hAnsi="Times New Roman" w:cs="宋体" w:eastAsiaTheme="minorEastAsia"/>
                <w:bCs/>
                <w:sz w:val="22"/>
                <w:lang w:val="en-US" w:eastAsia="zh-CN"/>
              </w:rPr>
              <w:t>0</w:t>
            </w:r>
          </w:p>
        </w:tc>
        <w:tc>
          <w:tcPr>
            <w:tcW w:w="217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宋体" w:hAnsi="宋体" w:cs="宋体" w:eastAsiaTheme="minorEastAsia"/>
                <w:bCs/>
                <w:sz w:val="24"/>
                <w:szCs w:val="24"/>
                <w:lang w:val="en-US" w:eastAsia="zh-CN"/>
              </w:rPr>
            </w:pPr>
            <w:r>
              <w:rPr>
                <w:rFonts w:hint="eastAsia" w:ascii="Times New Roman" w:hAnsi="Times New Roman" w:cs="宋体"/>
                <w:bCs/>
                <w:sz w:val="22"/>
                <w:lang w:val="en-US" w:eastAsia="zh-CN"/>
              </w:rPr>
              <w:t>0</w:t>
            </w:r>
          </w:p>
        </w:tc>
        <w:tc>
          <w:tcPr>
            <w:tcW w:w="2263"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hint="eastAsia" w:ascii="宋体" w:hAnsi="宋体" w:cs="宋体" w:eastAsiaTheme="minorEastAsia"/>
                <w:bCs/>
                <w:sz w:val="24"/>
                <w:szCs w:val="24"/>
                <w:lang w:val="en-US" w:eastAsia="zh-CN"/>
              </w:rPr>
            </w:pPr>
            <w:r>
              <w:rPr>
                <w:rFonts w:hint="eastAsia" w:ascii="Times New Roman" w:hAnsi="Times New Roman" w:cs="宋体"/>
                <w:bCs/>
                <w:sz w:val="22"/>
                <w:lang w:val="en-US" w:eastAsia="zh-CN"/>
              </w:rPr>
              <w:t>0</w:t>
            </w:r>
            <w:bookmarkStart w:id="0" w:name="_GoBack"/>
            <w:bookmarkEnd w:id="0"/>
          </w:p>
        </w:tc>
      </w:tr>
      <w:tr>
        <w:tblPrEx>
          <w:tblCellMar>
            <w:top w:w="0" w:type="dxa"/>
            <w:left w:w="0" w:type="dxa"/>
            <w:bottom w:w="0" w:type="dxa"/>
            <w:right w:w="0" w:type="dxa"/>
          </w:tblCellMar>
        </w:tblPrEx>
        <w:trPr>
          <w:trHeight w:val="474" w:hRule="exact"/>
          <w:jc w:val="center"/>
        </w:trPr>
        <w:tc>
          <w:tcPr>
            <w:tcW w:w="9189"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kern w:val="0"/>
                <w:sz w:val="24"/>
                <w:szCs w:val="24"/>
              </w:rPr>
              <w:t>第二十条第（五）项</w:t>
            </w:r>
          </w:p>
        </w:tc>
      </w:tr>
      <w:tr>
        <w:tblPrEx>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kern w:val="0"/>
                <w:sz w:val="24"/>
                <w:szCs w:val="24"/>
              </w:rPr>
              <w:t>信息内容</w:t>
            </w:r>
          </w:p>
        </w:tc>
        <w:tc>
          <w:tcPr>
            <w:tcW w:w="6715" w:type="dxa"/>
            <w:gridSpan w:val="3"/>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kern w:val="0"/>
                <w:sz w:val="24"/>
                <w:szCs w:val="24"/>
              </w:rPr>
              <w:t>本年处理决定数量</w:t>
            </w:r>
          </w:p>
        </w:tc>
      </w:tr>
      <w:tr>
        <w:tblPrEx>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left"/>
              <w:rPr>
                <w:rFonts w:ascii="宋体" w:hAnsi="宋体" w:cs="宋体"/>
                <w:bCs/>
                <w:sz w:val="24"/>
                <w:szCs w:val="24"/>
              </w:rPr>
            </w:pPr>
            <w:r>
              <w:rPr>
                <w:rFonts w:hint="eastAsia" w:ascii="宋体" w:hAnsi="宋体" w:cs="宋体"/>
                <w:bCs/>
                <w:kern w:val="0"/>
                <w:sz w:val="24"/>
                <w:szCs w:val="24"/>
              </w:rPr>
              <w:t>行政许可</w:t>
            </w:r>
          </w:p>
        </w:tc>
        <w:tc>
          <w:tcPr>
            <w:tcW w:w="6715"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hint="default" w:ascii="宋体" w:hAnsi="宋体" w:cs="宋体" w:eastAsiaTheme="minorEastAsia"/>
                <w:bCs/>
                <w:sz w:val="24"/>
                <w:szCs w:val="24"/>
                <w:lang w:val="en-US" w:eastAsia="zh-CN"/>
              </w:rPr>
            </w:pPr>
            <w:r>
              <w:rPr>
                <w:rFonts w:hint="eastAsia" w:ascii="Times New Roman" w:hAnsi="Times New Roman" w:cs="宋体" w:eastAsiaTheme="minorEastAsia"/>
                <w:bCs/>
                <w:sz w:val="22"/>
                <w:lang w:val="en-US" w:eastAsia="zh-CN"/>
              </w:rPr>
              <w:t>1815</w:t>
            </w:r>
          </w:p>
        </w:tc>
      </w:tr>
      <w:tr>
        <w:tblPrEx>
          <w:tblCellMar>
            <w:top w:w="0" w:type="dxa"/>
            <w:left w:w="0" w:type="dxa"/>
            <w:bottom w:w="0" w:type="dxa"/>
            <w:right w:w="0" w:type="dxa"/>
          </w:tblCellMar>
        </w:tblPrEx>
        <w:trPr>
          <w:trHeight w:val="474" w:hRule="exact"/>
          <w:jc w:val="center"/>
        </w:trPr>
        <w:tc>
          <w:tcPr>
            <w:tcW w:w="9189"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kern w:val="0"/>
                <w:sz w:val="24"/>
                <w:szCs w:val="24"/>
              </w:rPr>
              <w:t>第二十条第（六）项</w:t>
            </w:r>
          </w:p>
        </w:tc>
      </w:tr>
      <w:tr>
        <w:tblPrEx>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kern w:val="0"/>
                <w:sz w:val="24"/>
                <w:szCs w:val="24"/>
              </w:rPr>
              <w:t>信息内容</w:t>
            </w:r>
          </w:p>
        </w:tc>
        <w:tc>
          <w:tcPr>
            <w:tcW w:w="6715" w:type="dxa"/>
            <w:gridSpan w:val="3"/>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kern w:val="0"/>
                <w:sz w:val="24"/>
                <w:szCs w:val="24"/>
              </w:rPr>
              <w:t>本年处理决定数量</w:t>
            </w:r>
          </w:p>
        </w:tc>
      </w:tr>
      <w:tr>
        <w:tblPrEx>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left"/>
              <w:rPr>
                <w:rFonts w:ascii="宋体" w:hAnsi="宋体" w:cs="宋体"/>
                <w:bCs/>
                <w:sz w:val="24"/>
                <w:szCs w:val="24"/>
              </w:rPr>
            </w:pPr>
            <w:r>
              <w:rPr>
                <w:rFonts w:hint="eastAsia" w:ascii="宋体" w:hAnsi="宋体" w:cs="宋体"/>
                <w:bCs/>
                <w:kern w:val="0"/>
                <w:sz w:val="24"/>
                <w:szCs w:val="24"/>
              </w:rPr>
              <w:t>行政处罚</w:t>
            </w:r>
          </w:p>
        </w:tc>
        <w:tc>
          <w:tcPr>
            <w:tcW w:w="6715"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hint="default" w:ascii="宋体" w:hAnsi="宋体" w:cs="宋体" w:eastAsiaTheme="minorEastAsia"/>
                <w:bCs/>
                <w:sz w:val="24"/>
                <w:szCs w:val="24"/>
                <w:lang w:val="en-US" w:eastAsia="zh-CN"/>
              </w:rPr>
            </w:pPr>
            <w:r>
              <w:rPr>
                <w:rFonts w:hint="eastAsia" w:ascii="Times New Roman" w:hAnsi="Times New Roman" w:cs="宋体" w:eastAsiaTheme="minorEastAsia"/>
                <w:bCs/>
                <w:sz w:val="22"/>
                <w:lang w:val="en-US" w:eastAsia="zh-CN"/>
              </w:rPr>
              <w:t>703</w:t>
            </w:r>
          </w:p>
        </w:tc>
      </w:tr>
      <w:tr>
        <w:tblPrEx>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left"/>
              <w:rPr>
                <w:rFonts w:ascii="宋体" w:hAnsi="宋体" w:cs="宋体"/>
                <w:bCs/>
                <w:sz w:val="24"/>
                <w:szCs w:val="24"/>
              </w:rPr>
            </w:pPr>
            <w:r>
              <w:rPr>
                <w:rFonts w:hint="eastAsia" w:ascii="宋体" w:hAnsi="宋体" w:cs="宋体"/>
                <w:bCs/>
                <w:kern w:val="0"/>
                <w:sz w:val="24"/>
                <w:szCs w:val="24"/>
              </w:rPr>
              <w:t>行政强制</w:t>
            </w:r>
          </w:p>
        </w:tc>
        <w:tc>
          <w:tcPr>
            <w:tcW w:w="6715"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hint="default" w:ascii="宋体" w:hAnsi="宋体" w:cs="宋体" w:eastAsiaTheme="minorEastAsia"/>
                <w:bCs/>
                <w:sz w:val="24"/>
                <w:szCs w:val="24"/>
                <w:lang w:val="en-US" w:eastAsia="zh-CN"/>
              </w:rPr>
            </w:pPr>
            <w:r>
              <w:rPr>
                <w:rFonts w:hint="eastAsia" w:ascii="Times New Roman" w:hAnsi="Times New Roman" w:cs="宋体" w:eastAsiaTheme="minorEastAsia"/>
                <w:bCs/>
                <w:sz w:val="22"/>
                <w:lang w:val="en-US" w:eastAsia="zh-CN"/>
              </w:rPr>
              <w:t>10</w:t>
            </w:r>
          </w:p>
        </w:tc>
      </w:tr>
      <w:tr>
        <w:tblPrEx>
          <w:tblCellMar>
            <w:top w:w="0" w:type="dxa"/>
            <w:left w:w="0" w:type="dxa"/>
            <w:bottom w:w="0" w:type="dxa"/>
            <w:right w:w="0" w:type="dxa"/>
          </w:tblCellMar>
        </w:tblPrEx>
        <w:trPr>
          <w:trHeight w:val="474" w:hRule="exact"/>
          <w:jc w:val="center"/>
        </w:trPr>
        <w:tc>
          <w:tcPr>
            <w:tcW w:w="9189"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kern w:val="0"/>
                <w:sz w:val="24"/>
                <w:szCs w:val="24"/>
              </w:rPr>
              <w:t>第二十条第（八）项</w:t>
            </w:r>
          </w:p>
        </w:tc>
      </w:tr>
      <w:tr>
        <w:tblPrEx>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kern w:val="0"/>
                <w:sz w:val="24"/>
                <w:szCs w:val="24"/>
              </w:rPr>
              <w:t>信息内容</w:t>
            </w:r>
          </w:p>
        </w:tc>
        <w:tc>
          <w:tcPr>
            <w:tcW w:w="6715" w:type="dxa"/>
            <w:gridSpan w:val="3"/>
            <w:tcBorders>
              <w:top w:val="nil"/>
              <w:left w:val="nil"/>
              <w:bottom w:val="single" w:color="auto" w:sz="8" w:space="0"/>
              <w:right w:val="single" w:color="000000" w:sz="8" w:space="0"/>
            </w:tcBorders>
            <w:shd w:val="clear" w:color="auto" w:fill="auto"/>
            <w:noWrap/>
            <w:tcMar>
              <w:left w:w="108" w:type="dxa"/>
              <w:right w:w="108" w:type="dxa"/>
            </w:tcMar>
            <w:vAlign w:val="center"/>
          </w:tcPr>
          <w:p>
            <w:pPr>
              <w:widowControl/>
              <w:spacing w:line="320" w:lineRule="exact"/>
              <w:jc w:val="center"/>
              <w:rPr>
                <w:rFonts w:ascii="宋体" w:hAnsi="宋体" w:cs="宋体"/>
                <w:bCs/>
                <w:sz w:val="24"/>
                <w:szCs w:val="24"/>
              </w:rPr>
            </w:pPr>
            <w:r>
              <w:rPr>
                <w:rFonts w:hint="eastAsia" w:ascii="宋体" w:hAnsi="宋体" w:cs="宋体"/>
                <w:bCs/>
                <w:sz w:val="24"/>
                <w:szCs w:val="24"/>
              </w:rPr>
              <w:t>本年收费金额（单位：万元）</w:t>
            </w:r>
          </w:p>
        </w:tc>
      </w:tr>
      <w:tr>
        <w:tblPrEx>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320" w:lineRule="exact"/>
              <w:jc w:val="left"/>
              <w:rPr>
                <w:rFonts w:ascii="宋体" w:hAnsi="宋体" w:cs="宋体"/>
                <w:bCs/>
                <w:sz w:val="24"/>
                <w:szCs w:val="24"/>
              </w:rPr>
            </w:pPr>
            <w:r>
              <w:rPr>
                <w:rFonts w:hint="eastAsia" w:ascii="宋体" w:hAnsi="宋体" w:cs="宋体"/>
                <w:bCs/>
                <w:kern w:val="0"/>
                <w:sz w:val="24"/>
                <w:szCs w:val="24"/>
              </w:rPr>
              <w:t>行政事业性收费</w:t>
            </w:r>
          </w:p>
        </w:tc>
        <w:tc>
          <w:tcPr>
            <w:tcW w:w="6715" w:type="dxa"/>
            <w:gridSpan w:val="3"/>
            <w:tcBorders>
              <w:top w:val="nil"/>
              <w:left w:val="nil"/>
              <w:bottom w:val="single" w:color="auto" w:sz="8" w:space="0"/>
              <w:right w:val="single" w:color="000000" w:sz="8" w:space="0"/>
            </w:tcBorders>
            <w:shd w:val="clear" w:color="auto" w:fill="auto"/>
            <w:noWrap/>
            <w:tcMar>
              <w:left w:w="108" w:type="dxa"/>
              <w:right w:w="108" w:type="dxa"/>
            </w:tcMar>
            <w:vAlign w:val="center"/>
          </w:tcPr>
          <w:p>
            <w:pPr>
              <w:widowControl/>
              <w:spacing w:line="320" w:lineRule="exact"/>
              <w:jc w:val="center"/>
              <w:rPr>
                <w:rFonts w:hint="eastAsia" w:ascii="宋体" w:hAnsi="宋体" w:cs="宋体" w:eastAsiaTheme="minorEastAsia"/>
                <w:bCs/>
                <w:sz w:val="24"/>
                <w:szCs w:val="24"/>
                <w:lang w:val="en-US" w:eastAsia="zh-CN"/>
              </w:rPr>
            </w:pPr>
            <w:r>
              <w:rPr>
                <w:rFonts w:hint="eastAsia" w:ascii="Times New Roman" w:hAnsi="Times New Roman" w:cs="宋体" w:eastAsiaTheme="minorEastAsia"/>
                <w:bCs/>
                <w:sz w:val="24"/>
                <w:szCs w:val="24"/>
                <w:lang w:val="en-US" w:eastAsia="zh-CN"/>
              </w:rPr>
              <w:t>0</w:t>
            </w:r>
          </w:p>
        </w:tc>
      </w:tr>
    </w:tbl>
    <w:p>
      <w:pPr>
        <w:numPr>
          <w:ilvl w:val="0"/>
          <w:numId w:val="0"/>
        </w:numPr>
        <w:ind w:firstLine="640" w:firstLineChars="200"/>
        <w:jc w:val="left"/>
        <w:rPr>
          <w:rStyle w:val="5"/>
          <w:rFonts w:hint="eastAsia" w:ascii="黑体" w:hAnsi="黑体" w:eastAsia="黑体" w:cs="Arial"/>
          <w:b w:val="0"/>
          <w:color w:val="000000"/>
          <w:sz w:val="32"/>
          <w:szCs w:val="32"/>
          <w:shd w:val="clear" w:color="auto" w:fill="FFFFFF"/>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top"/>
        <w:rPr>
          <w:rStyle w:val="5"/>
          <w:rFonts w:ascii="黑体" w:hAnsi="黑体" w:eastAsia="黑体" w:cs="Arial"/>
          <w:b w:val="0"/>
          <w:color w:val="000000"/>
          <w:sz w:val="32"/>
          <w:szCs w:val="32"/>
          <w:shd w:val="clear" w:color="auto" w:fill="FFFFFF"/>
        </w:rPr>
      </w:pPr>
      <w:r>
        <w:rPr>
          <w:rStyle w:val="5"/>
          <w:rFonts w:hint="eastAsia" w:ascii="黑体" w:hAnsi="黑体" w:eastAsia="黑体" w:cs="Arial"/>
          <w:b w:val="0"/>
          <w:color w:val="000000"/>
          <w:sz w:val="32"/>
          <w:szCs w:val="32"/>
          <w:shd w:val="clear" w:color="auto" w:fill="FFFFFF"/>
          <w:lang w:val="en-US" w:eastAsia="zh-CN"/>
        </w:rPr>
        <w:t>三、</w:t>
      </w:r>
      <w:r>
        <w:rPr>
          <w:rStyle w:val="5"/>
          <w:rFonts w:ascii="黑体" w:hAnsi="黑体" w:eastAsia="黑体" w:cs="Arial"/>
          <w:b w:val="0"/>
          <w:color w:val="000000"/>
          <w:sz w:val="32"/>
          <w:szCs w:val="32"/>
          <w:shd w:val="clear" w:color="auto" w:fill="FFFFFF"/>
        </w:rPr>
        <w:t>收到和处理政府信息公开申请情况</w:t>
      </w:r>
    </w:p>
    <w:tbl>
      <w:tblPr>
        <w:tblStyle w:val="3"/>
        <w:tblW w:w="984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05"/>
        <w:gridCol w:w="1005"/>
        <w:gridCol w:w="3100"/>
        <w:gridCol w:w="750"/>
        <w:gridCol w:w="700"/>
        <w:gridCol w:w="675"/>
        <w:gridCol w:w="800"/>
        <w:gridCol w:w="797"/>
        <w:gridCol w:w="702"/>
        <w:gridCol w:w="6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 w:hRule="atLeast"/>
          <w:jc w:val="center"/>
        </w:trPr>
        <w:tc>
          <w:tcPr>
            <w:tcW w:w="4810"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kern w:val="0"/>
                <w:sz w:val="22"/>
              </w:rPr>
              <w:t>（本列数据的勾稽关系为：第一项加第二项之和，等于第三项加第四项之和）</w:t>
            </w:r>
          </w:p>
        </w:tc>
        <w:tc>
          <w:tcPr>
            <w:tcW w:w="5036"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kern w:val="0"/>
                <w:sz w:val="22"/>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481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7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kern w:val="0"/>
                <w:sz w:val="22"/>
              </w:rPr>
              <w:t>自然人</w:t>
            </w:r>
          </w:p>
        </w:tc>
        <w:tc>
          <w:tcPr>
            <w:tcW w:w="3674"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kern w:val="0"/>
                <w:sz w:val="22"/>
              </w:rPr>
              <w:t>法人或其他组织</w:t>
            </w:r>
          </w:p>
        </w:tc>
        <w:tc>
          <w:tcPr>
            <w:tcW w:w="61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kern w:val="0"/>
                <w:sz w:val="2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77" w:hRule="atLeast"/>
          <w:jc w:val="center"/>
        </w:trPr>
        <w:tc>
          <w:tcPr>
            <w:tcW w:w="481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7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kern w:val="0"/>
                <w:sz w:val="22"/>
              </w:rPr>
              <w:t>商业企业</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kern w:val="0"/>
                <w:sz w:val="22"/>
              </w:rPr>
              <w:t>科研机构</w:t>
            </w:r>
          </w:p>
        </w:tc>
        <w:tc>
          <w:tcPr>
            <w:tcW w:w="8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kern w:val="0"/>
                <w:sz w:val="22"/>
              </w:rPr>
              <w:t>社会公益组织</w:t>
            </w:r>
          </w:p>
        </w:tc>
        <w:tc>
          <w:tcPr>
            <w:tcW w:w="79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kern w:val="0"/>
                <w:sz w:val="22"/>
              </w:rPr>
              <w:t>法律服务机构</w:t>
            </w:r>
          </w:p>
        </w:tc>
        <w:tc>
          <w:tcPr>
            <w:tcW w:w="7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kern w:val="0"/>
                <w:sz w:val="22"/>
              </w:rPr>
              <w:t>其他</w:t>
            </w:r>
          </w:p>
        </w:tc>
        <w:tc>
          <w:tcPr>
            <w:tcW w:w="61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4" w:hRule="atLeast"/>
          <w:jc w:val="center"/>
        </w:trPr>
        <w:tc>
          <w:tcPr>
            <w:tcW w:w="4810"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一、本年新收政府信息公开申请数量</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1" w:hRule="atLeast"/>
          <w:jc w:val="center"/>
        </w:trPr>
        <w:tc>
          <w:tcPr>
            <w:tcW w:w="4810"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二、上年结转政府信息公开申请数量</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8" w:hRule="atLeast"/>
          <w:jc w:val="center"/>
        </w:trPr>
        <w:tc>
          <w:tcPr>
            <w:tcW w:w="70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r>
              <w:rPr>
                <w:rFonts w:hint="eastAsia" w:ascii="宋体" w:hAnsi="宋体" w:cs="宋体"/>
                <w:bCs/>
                <w:kern w:val="0"/>
                <w:sz w:val="22"/>
              </w:rPr>
              <w:t>三、本年度办理结果</w:t>
            </w:r>
          </w:p>
        </w:tc>
        <w:tc>
          <w:tcPr>
            <w:tcW w:w="410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（一）予以公开</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1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410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（二）部分公开（区分处理的，只计这一情形，不计其他情形）</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（三）不予公开</w:t>
            </w: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1.属于国家秘密</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1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2.其他法律行政法规禁止公开</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3.危及“三安全一稳定”</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4.保护第三方合法权益</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5.属于三类内部事务信息</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6.属于四类过程性信息</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7.属于行政执法案卷</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8.属于行政查询事项</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（四）无法提供</w:t>
            </w: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1.本机关不掌握相关政府信息</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2.没有现成信息需要另行制作</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3.补正后申请内容仍不明确</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（五）不予处理</w:t>
            </w: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1.信访举报投诉类申请</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2.重复申请</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3.要求提供公开出版物</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4.无正当理由大量反复申请</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8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9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top w:val="nil"/>
              <w:left w:val="nil"/>
              <w:bottom w:val="single" w:color="auto" w:sz="4" w:space="0"/>
              <w:right w:val="single" w:color="auto" w:sz="8" w:space="0"/>
            </w:tcBorders>
            <w:shd w:val="clear" w:color="auto" w:fill="auto"/>
            <w:tcMar>
              <w:left w:w="108" w:type="dxa"/>
              <w:right w:w="108" w:type="dxa"/>
            </w:tcMar>
            <w:vAlign w:val="center"/>
          </w:tcPr>
          <w:p>
            <w:pPr>
              <w:spacing w:line="400" w:lineRule="exact"/>
              <w:rPr>
                <w:rFonts w:ascii="宋体" w:hAnsi="宋体" w:cs="宋体"/>
                <w:bCs/>
                <w:sz w:val="22"/>
              </w:rPr>
            </w:pPr>
          </w:p>
        </w:tc>
        <w:tc>
          <w:tcPr>
            <w:tcW w:w="3100"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5.要求行政机关确认或重新出具已获取信息</w:t>
            </w:r>
          </w:p>
        </w:tc>
        <w:tc>
          <w:tcPr>
            <w:tcW w:w="750"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0"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75"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800"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97"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702"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c>
          <w:tcPr>
            <w:tcW w:w="612"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line="400" w:lineRule="exact"/>
              <w:jc w:val="center"/>
              <w:rPr>
                <w:rFonts w:ascii="宋体" w:hAnsi="宋体" w:cs="宋体"/>
                <w:bCs/>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left"/>
              <w:rPr>
                <w:rFonts w:ascii="宋体" w:hAnsi="宋体" w:cs="宋体"/>
                <w:bCs/>
                <w:sz w:val="22"/>
              </w:rPr>
            </w:pPr>
            <w:r>
              <w:rPr>
                <w:rFonts w:hint="eastAsia" w:ascii="宋体" w:hAnsi="宋体" w:cs="宋体"/>
                <w:bCs/>
                <w:kern w:val="0"/>
                <w:sz w:val="22"/>
              </w:rPr>
              <w:t>（六）其他处理</w:t>
            </w:r>
          </w:p>
        </w:tc>
        <w:tc>
          <w:tcPr>
            <w:tcW w:w="310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left"/>
              <w:rPr>
                <w:rFonts w:hint="default" w:ascii="宋体" w:hAnsi="宋体" w:cs="宋体" w:eastAsiaTheme="minorEastAsia"/>
                <w:bCs/>
                <w:kern w:val="0"/>
                <w:sz w:val="22"/>
                <w:lang w:val="en-US" w:eastAsia="zh-CN"/>
              </w:rPr>
            </w:pPr>
            <w:r>
              <w:rPr>
                <w:rFonts w:hint="eastAsia" w:ascii="宋体" w:hAnsi="宋体" w:cs="宋体"/>
                <w:bCs/>
                <w:kern w:val="0"/>
                <w:sz w:val="22"/>
              </w:rPr>
              <w:t>1.申请人无正当理由逾期不补正、行政机关不再处理其政府信息公开申请</w:t>
            </w:r>
          </w:p>
        </w:tc>
        <w:tc>
          <w:tcPr>
            <w:tcW w:w="7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p>
        </w:tc>
        <w:tc>
          <w:tcPr>
            <w:tcW w:w="70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p>
        </w:tc>
        <w:tc>
          <w:tcPr>
            <w:tcW w:w="67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p>
        </w:tc>
        <w:tc>
          <w:tcPr>
            <w:tcW w:w="79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p>
        </w:tc>
        <w:tc>
          <w:tcPr>
            <w:tcW w:w="70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p>
        </w:tc>
        <w:tc>
          <w:tcPr>
            <w:tcW w:w="6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left w:val="single" w:color="auto" w:sz="4" w:space="0"/>
              <w:right w:val="single" w:color="auto" w:sz="4"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left w:val="single" w:color="auto" w:sz="4" w:space="0"/>
              <w:right w:val="single" w:color="auto" w:sz="4" w:space="0"/>
            </w:tcBorders>
            <w:shd w:val="clear" w:color="auto" w:fill="auto"/>
            <w:tcMar>
              <w:left w:w="108" w:type="dxa"/>
              <w:right w:w="108" w:type="dxa"/>
            </w:tcMar>
            <w:vAlign w:val="center"/>
          </w:tcPr>
          <w:p>
            <w:pPr>
              <w:widowControl/>
              <w:spacing w:line="400" w:lineRule="exact"/>
              <w:jc w:val="left"/>
              <w:rPr>
                <w:rFonts w:hint="eastAsia" w:ascii="宋体" w:hAnsi="宋体" w:cs="宋体"/>
                <w:bCs/>
                <w:kern w:val="0"/>
                <w:sz w:val="22"/>
              </w:rPr>
            </w:pPr>
          </w:p>
        </w:tc>
        <w:tc>
          <w:tcPr>
            <w:tcW w:w="310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left"/>
              <w:rPr>
                <w:rFonts w:hint="eastAsia" w:ascii="宋体" w:hAnsi="宋体" w:cs="宋体"/>
                <w:bCs/>
                <w:kern w:val="0"/>
                <w:sz w:val="22"/>
              </w:rPr>
            </w:pPr>
            <w:r>
              <w:rPr>
                <w:rFonts w:hint="eastAsia" w:ascii="宋体" w:hAnsi="宋体" w:cs="宋体"/>
                <w:bCs/>
                <w:kern w:val="0"/>
                <w:sz w:val="22"/>
              </w:rPr>
              <w:t>2.申请人逾期未按收费通知要求缴纳费用、行政机关不再处理其政府信息公开申请</w:t>
            </w:r>
          </w:p>
        </w:tc>
        <w:tc>
          <w:tcPr>
            <w:tcW w:w="7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p>
        </w:tc>
        <w:tc>
          <w:tcPr>
            <w:tcW w:w="70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p>
        </w:tc>
        <w:tc>
          <w:tcPr>
            <w:tcW w:w="67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p>
        </w:tc>
        <w:tc>
          <w:tcPr>
            <w:tcW w:w="79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p>
        </w:tc>
        <w:tc>
          <w:tcPr>
            <w:tcW w:w="70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p>
        </w:tc>
        <w:tc>
          <w:tcPr>
            <w:tcW w:w="6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left w:val="single" w:color="auto" w:sz="4" w:space="0"/>
              <w:right w:val="single" w:color="auto" w:sz="4" w:space="0"/>
            </w:tcBorders>
            <w:shd w:val="clear" w:color="auto" w:fill="auto"/>
            <w:tcMar>
              <w:left w:w="108" w:type="dxa"/>
              <w:right w:w="108" w:type="dxa"/>
            </w:tcMar>
            <w:vAlign w:val="center"/>
          </w:tcPr>
          <w:p>
            <w:pPr>
              <w:spacing w:line="400" w:lineRule="exact"/>
              <w:rPr>
                <w:rFonts w:ascii="宋体" w:hAnsi="宋体" w:cs="宋体"/>
                <w:bCs/>
                <w:sz w:val="22"/>
              </w:rPr>
            </w:pPr>
          </w:p>
        </w:tc>
        <w:tc>
          <w:tcPr>
            <w:tcW w:w="1005" w:type="dxa"/>
            <w:vMerge w:val="continue"/>
            <w:tcBorders>
              <w:left w:val="single" w:color="auto" w:sz="4" w:space="0"/>
              <w:right w:val="single" w:color="auto" w:sz="4" w:space="0"/>
            </w:tcBorders>
            <w:shd w:val="clear" w:color="auto" w:fill="auto"/>
            <w:tcMar>
              <w:left w:w="108" w:type="dxa"/>
              <w:right w:w="108" w:type="dxa"/>
            </w:tcMar>
            <w:vAlign w:val="center"/>
          </w:tcPr>
          <w:p>
            <w:pPr>
              <w:widowControl/>
              <w:spacing w:line="400" w:lineRule="exact"/>
              <w:jc w:val="left"/>
              <w:rPr>
                <w:rFonts w:hint="eastAsia" w:ascii="宋体" w:hAnsi="宋体" w:cs="宋体"/>
                <w:bCs/>
                <w:kern w:val="0"/>
                <w:sz w:val="22"/>
              </w:rPr>
            </w:pPr>
          </w:p>
        </w:tc>
        <w:tc>
          <w:tcPr>
            <w:tcW w:w="310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left"/>
              <w:rPr>
                <w:rFonts w:hint="eastAsia" w:ascii="宋体" w:hAnsi="宋体" w:cs="宋体"/>
                <w:bCs/>
                <w:kern w:val="0"/>
                <w:sz w:val="22"/>
              </w:rPr>
            </w:pPr>
            <w:r>
              <w:rPr>
                <w:rFonts w:hint="eastAsia" w:ascii="宋体" w:hAnsi="宋体" w:cs="宋体"/>
                <w:bCs/>
                <w:kern w:val="0"/>
                <w:sz w:val="22"/>
              </w:rPr>
              <w:t>3.其他</w:t>
            </w:r>
          </w:p>
        </w:tc>
        <w:tc>
          <w:tcPr>
            <w:tcW w:w="7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p>
        </w:tc>
        <w:tc>
          <w:tcPr>
            <w:tcW w:w="70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p>
        </w:tc>
        <w:tc>
          <w:tcPr>
            <w:tcW w:w="67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p>
        </w:tc>
        <w:tc>
          <w:tcPr>
            <w:tcW w:w="79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p>
        </w:tc>
        <w:tc>
          <w:tcPr>
            <w:tcW w:w="70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p>
        </w:tc>
        <w:tc>
          <w:tcPr>
            <w:tcW w:w="6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00" w:lineRule="exact"/>
              <w:jc w:val="center"/>
              <w:rPr>
                <w:rFonts w:ascii="宋体" w:hAnsi="宋体" w:cs="宋体"/>
                <w:bCs/>
                <w:kern w:val="0"/>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sz w:val="22"/>
              </w:rPr>
            </w:pPr>
          </w:p>
        </w:tc>
        <w:tc>
          <w:tcPr>
            <w:tcW w:w="410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bCs/>
                <w:kern w:val="0"/>
                <w:sz w:val="22"/>
              </w:rPr>
            </w:pPr>
            <w:r>
              <w:rPr>
                <w:rFonts w:hint="eastAsia" w:ascii="宋体" w:hAnsi="宋体" w:cs="宋体"/>
                <w:bCs/>
                <w:kern w:val="0"/>
                <w:sz w:val="22"/>
              </w:rPr>
              <w:t>（七）总计</w:t>
            </w:r>
          </w:p>
        </w:tc>
        <w:tc>
          <w:tcPr>
            <w:tcW w:w="7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p>
        </w:tc>
        <w:tc>
          <w:tcPr>
            <w:tcW w:w="8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p>
        </w:tc>
        <w:tc>
          <w:tcPr>
            <w:tcW w:w="79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481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bCs/>
                <w:kern w:val="0"/>
                <w:sz w:val="22"/>
              </w:rPr>
            </w:pPr>
            <w:r>
              <w:rPr>
                <w:rFonts w:hint="eastAsia" w:ascii="宋体" w:hAnsi="宋体" w:cs="宋体"/>
                <w:bCs/>
                <w:kern w:val="0"/>
                <w:sz w:val="22"/>
              </w:rPr>
              <w:t>四、结转下年度继续办理</w:t>
            </w:r>
          </w:p>
        </w:tc>
        <w:tc>
          <w:tcPr>
            <w:tcW w:w="7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p>
        </w:tc>
        <w:tc>
          <w:tcPr>
            <w:tcW w:w="8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p>
        </w:tc>
        <w:tc>
          <w:tcPr>
            <w:tcW w:w="79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2"/>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top"/>
        <w:rPr>
          <w:rStyle w:val="5"/>
          <w:rFonts w:ascii="黑体" w:hAnsi="黑体" w:eastAsia="黑体" w:cs="Arial"/>
          <w:b w:val="0"/>
          <w:color w:val="000000"/>
          <w:sz w:val="32"/>
          <w:szCs w:val="32"/>
          <w:shd w:val="clear" w:color="auto" w:fill="FFFFFF"/>
        </w:rPr>
      </w:pPr>
      <w:r>
        <w:rPr>
          <w:rStyle w:val="5"/>
          <w:rFonts w:ascii="黑体" w:hAnsi="黑体" w:eastAsia="黑体" w:cs="Arial"/>
          <w:b w:val="0"/>
          <w:color w:val="000000"/>
          <w:sz w:val="32"/>
          <w:szCs w:val="32"/>
          <w:shd w:val="clear" w:color="auto" w:fill="FFFFFF"/>
        </w:rPr>
        <w:t>四、政府信息公开行政复议、行政诉讼情况</w:t>
      </w:r>
    </w:p>
    <w:tbl>
      <w:tblPr>
        <w:tblStyle w:val="3"/>
        <w:tblW w:w="983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64"/>
        <w:gridCol w:w="662"/>
        <w:gridCol w:w="663"/>
        <w:gridCol w:w="662"/>
        <w:gridCol w:w="431"/>
        <w:gridCol w:w="841"/>
        <w:gridCol w:w="705"/>
        <w:gridCol w:w="767"/>
        <w:gridCol w:w="662"/>
        <w:gridCol w:w="450"/>
        <w:gridCol w:w="713"/>
        <w:gridCol w:w="737"/>
        <w:gridCol w:w="675"/>
        <w:gridCol w:w="663"/>
        <w:gridCol w:w="5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82"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行政复议</w:t>
            </w:r>
          </w:p>
        </w:tc>
        <w:tc>
          <w:tcPr>
            <w:tcW w:w="675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结果维持</w:t>
            </w:r>
          </w:p>
        </w:tc>
        <w:tc>
          <w:tcPr>
            <w:tcW w:w="66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结果纠正</w:t>
            </w:r>
          </w:p>
        </w:tc>
        <w:tc>
          <w:tcPr>
            <w:tcW w:w="663"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其他结果</w:t>
            </w:r>
          </w:p>
        </w:tc>
        <w:tc>
          <w:tcPr>
            <w:tcW w:w="66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尚未审结</w:t>
            </w:r>
          </w:p>
        </w:tc>
        <w:tc>
          <w:tcPr>
            <w:tcW w:w="431"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总计</w:t>
            </w:r>
          </w:p>
        </w:tc>
        <w:tc>
          <w:tcPr>
            <w:tcW w:w="342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未经复议直接起诉</w:t>
            </w:r>
          </w:p>
        </w:tc>
        <w:tc>
          <w:tcPr>
            <w:tcW w:w="3332"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320" w:lineRule="exact"/>
              <w:jc w:val="center"/>
              <w:rPr>
                <w:rFonts w:ascii="宋体" w:hAnsi="宋体" w:cs="宋体"/>
                <w:bCs/>
                <w:sz w:val="22"/>
              </w:rPr>
            </w:pPr>
          </w:p>
        </w:tc>
        <w:tc>
          <w:tcPr>
            <w:tcW w:w="66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320" w:lineRule="exact"/>
              <w:jc w:val="center"/>
              <w:rPr>
                <w:rFonts w:ascii="宋体" w:hAnsi="宋体" w:cs="宋体"/>
                <w:bCs/>
                <w:sz w:val="22"/>
              </w:rPr>
            </w:pPr>
          </w:p>
        </w:tc>
        <w:tc>
          <w:tcPr>
            <w:tcW w:w="663"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20" w:lineRule="exact"/>
              <w:jc w:val="center"/>
              <w:rPr>
                <w:rFonts w:ascii="宋体" w:hAnsi="宋体" w:cs="宋体"/>
                <w:bCs/>
                <w:sz w:val="22"/>
              </w:rPr>
            </w:pPr>
          </w:p>
        </w:tc>
        <w:tc>
          <w:tcPr>
            <w:tcW w:w="66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20" w:lineRule="exact"/>
              <w:jc w:val="center"/>
              <w:rPr>
                <w:rFonts w:ascii="宋体" w:hAnsi="宋体" w:cs="宋体"/>
                <w:bCs/>
                <w:sz w:val="22"/>
              </w:rPr>
            </w:pPr>
          </w:p>
        </w:tc>
        <w:tc>
          <w:tcPr>
            <w:tcW w:w="431"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20" w:lineRule="exact"/>
              <w:jc w:val="center"/>
              <w:rPr>
                <w:rFonts w:ascii="宋体" w:hAnsi="宋体" w:cs="宋体"/>
                <w:bCs/>
                <w:sz w:val="22"/>
              </w:rPr>
            </w:pP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宋体" w:hAnsi="宋体" w:cs="宋体"/>
                <w:bCs/>
                <w:kern w:val="0"/>
                <w:sz w:val="22"/>
              </w:rPr>
            </w:pPr>
            <w:r>
              <w:rPr>
                <w:rFonts w:hint="eastAsia" w:ascii="宋体" w:hAnsi="宋体" w:cs="宋体"/>
                <w:bCs/>
                <w:kern w:val="0"/>
                <w:sz w:val="22"/>
              </w:rPr>
              <w:t>结果</w:t>
            </w:r>
          </w:p>
          <w:p>
            <w:pPr>
              <w:widowControl/>
              <w:spacing w:line="320" w:lineRule="exact"/>
              <w:jc w:val="center"/>
              <w:rPr>
                <w:rFonts w:ascii="宋体" w:hAnsi="宋体" w:cs="宋体"/>
                <w:bCs/>
                <w:sz w:val="22"/>
              </w:rPr>
            </w:pPr>
            <w:r>
              <w:rPr>
                <w:rFonts w:hint="eastAsia" w:ascii="宋体" w:hAnsi="宋体" w:cs="宋体"/>
                <w:bCs/>
                <w:kern w:val="0"/>
                <w:sz w:val="22"/>
              </w:rPr>
              <w:t>维持</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结果纠正</w:t>
            </w:r>
          </w:p>
        </w:tc>
        <w:tc>
          <w:tcPr>
            <w:tcW w:w="7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其他结果</w:t>
            </w:r>
          </w:p>
        </w:tc>
        <w:tc>
          <w:tcPr>
            <w:tcW w:w="66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尚未审结</w:t>
            </w:r>
          </w:p>
        </w:tc>
        <w:tc>
          <w:tcPr>
            <w:tcW w:w="4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总计</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结果维持</w:t>
            </w:r>
          </w:p>
        </w:tc>
        <w:tc>
          <w:tcPr>
            <w:tcW w:w="73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结果纠正</w:t>
            </w:r>
          </w:p>
        </w:tc>
        <w:tc>
          <w:tcPr>
            <w:tcW w:w="6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其他结果</w:t>
            </w:r>
          </w:p>
        </w:tc>
        <w:tc>
          <w:tcPr>
            <w:tcW w:w="66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尚未审结</w:t>
            </w:r>
          </w:p>
        </w:tc>
        <w:tc>
          <w:tcPr>
            <w:tcW w:w="54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cs="宋体"/>
                <w:bCs/>
                <w:sz w:val="22"/>
              </w:rPr>
            </w:pPr>
            <w:r>
              <w:rPr>
                <w:rFonts w:hint="eastAsia" w:ascii="宋体" w:hAnsi="宋体" w:cs="宋体"/>
                <w:bCs/>
                <w:kern w:val="0"/>
                <w:sz w:val="2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66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66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66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43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66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4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73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66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c>
          <w:tcPr>
            <w:tcW w:w="544"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20" w:lineRule="exact"/>
              <w:jc w:val="center"/>
              <w:rPr>
                <w:rFonts w:hint="eastAsia" w:ascii="Times New Roman" w:hAnsi="Times New Roman" w:cs="宋体" w:eastAsiaTheme="minorEastAsia"/>
                <w:bCs/>
                <w:sz w:val="22"/>
                <w:lang w:val="en-US" w:eastAsia="zh-CN"/>
              </w:rPr>
            </w:pPr>
            <w:r>
              <w:rPr>
                <w:rFonts w:hint="eastAsia" w:ascii="Times New Roman" w:hAnsi="Times New Roman" w:cs="宋体" w:eastAsiaTheme="minorEastAsia"/>
                <w:bCs/>
                <w:sz w:val="22"/>
                <w:lang w:val="en-US" w:eastAsia="zh-CN"/>
              </w:rPr>
              <w:t>0</w:t>
            </w:r>
          </w:p>
        </w:tc>
      </w:tr>
    </w:tbl>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top"/>
        <w:rPr>
          <w:rStyle w:val="5"/>
          <w:rFonts w:ascii="黑体" w:hAnsi="黑体" w:eastAsia="黑体" w:cs="Arial"/>
          <w:b w:val="0"/>
          <w:color w:val="000000"/>
          <w:sz w:val="32"/>
          <w:szCs w:val="32"/>
          <w:shd w:val="clear" w:color="auto" w:fill="FFFFFF"/>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top"/>
        <w:rPr>
          <w:rFonts w:ascii="黑体" w:hAnsi="黑体" w:eastAsia="黑体" w:cs="Arial"/>
          <w:b/>
          <w:color w:val="000000"/>
          <w:sz w:val="32"/>
          <w:szCs w:val="32"/>
        </w:rPr>
      </w:pPr>
      <w:r>
        <w:rPr>
          <w:rStyle w:val="5"/>
          <w:rFonts w:ascii="黑体" w:hAnsi="黑体" w:eastAsia="黑体" w:cs="Arial"/>
          <w:b w:val="0"/>
          <w:color w:val="000000"/>
          <w:sz w:val="32"/>
          <w:szCs w:val="32"/>
          <w:shd w:val="clear" w:color="auto" w:fill="FFFFFF"/>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2021年，我局政府信息公开工作虽然取得了一定进展，但离区委、区政府的要求和人民群众的期待还有一定差距，存在信息发布不够及时、公开内容不够全面、监督制约机制有待进一步健全等问题。对此，在下步工作中，我局重点要改进以下几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40"/>
          <w:lang w:val="en-US" w:eastAsia="zh-CN"/>
        </w:rPr>
      </w:pPr>
      <w:r>
        <w:rPr>
          <w:rFonts w:hint="eastAsia" w:ascii="楷体_GB2312" w:hAnsi="楷体_GB2312" w:eastAsia="楷体_GB2312" w:cs="楷体_GB2312"/>
          <w:b/>
          <w:bCs/>
          <w:sz w:val="32"/>
          <w:szCs w:val="32"/>
          <w:lang w:val="en-US" w:eastAsia="zh-CN"/>
        </w:rPr>
        <w:t>（一）深化政务公开内容。</w:t>
      </w:r>
      <w:r>
        <w:rPr>
          <w:rFonts w:hint="eastAsia" w:ascii="仿宋_GB2312" w:hAnsi="仿宋_GB2312" w:eastAsia="仿宋_GB2312" w:cs="仿宋_GB2312"/>
          <w:sz w:val="32"/>
          <w:szCs w:val="40"/>
          <w:lang w:val="en-US" w:eastAsia="zh-CN"/>
        </w:rPr>
        <w:t>主动提高政府信息公开的意识，继续做好与卫生健康事业发展、群众生活密切相关的政务公开工作。对涉及专业性强、社会群众关注度高的规范性文件、重大决定事项等认真做好解读工作，方便群众第一时间掌握最新动态和政策要求。做好法定传染病和重大突发公共卫生事件特别是常态化疫情防控的信息公开，推动各类医疗机构健全信息公开目录，为群众提供及时、准确、实用的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40"/>
          <w:lang w:val="en-US" w:eastAsia="zh-CN"/>
        </w:rPr>
      </w:pPr>
      <w:r>
        <w:rPr>
          <w:rFonts w:hint="eastAsia" w:ascii="楷体_GB2312" w:hAnsi="楷体_GB2312" w:eastAsia="楷体_GB2312" w:cs="楷体_GB2312"/>
          <w:b/>
          <w:bCs/>
          <w:sz w:val="32"/>
          <w:szCs w:val="32"/>
          <w:lang w:val="en-US" w:eastAsia="zh-CN"/>
        </w:rPr>
        <w:t>（二）加强政务公开力度。</w:t>
      </w:r>
      <w:r>
        <w:rPr>
          <w:rFonts w:hint="eastAsia" w:ascii="仿宋_GB2312" w:hAnsi="仿宋_GB2312" w:eastAsia="仿宋_GB2312" w:cs="仿宋_GB2312"/>
          <w:sz w:val="32"/>
          <w:szCs w:val="40"/>
          <w:lang w:val="en-US" w:eastAsia="zh-CN"/>
        </w:rPr>
        <w:t>认真贯彻落实《中华人民共和国政府信息公开条例》，建立健全内部信息沟通机制。密切关注重点业务科室和区医保中心、区疾控中心、区卫生监督所等单位，加强统筹协调，及时发布惠民利民的导向性政策和亮点突出的举措类做法。对发布内容少、更新时间慢的科室进行</w:t>
      </w:r>
      <w:r>
        <w:rPr>
          <w:rFonts w:hint="eastAsia" w:ascii="仿宋_GB2312" w:hAnsi="仿宋_GB2312" w:eastAsia="仿宋_GB2312" w:cs="仿宋_GB2312"/>
          <w:sz w:val="32"/>
          <w:szCs w:val="32"/>
          <w:lang w:val="en-US" w:eastAsia="zh-CN"/>
        </w:rPr>
        <w:t>督促指导，进一步压实主体责任、强化责任意识，确保业务政策、政务信息、工作动态等能及时上传、透明公开。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（三）丰富政务公开载体。</w:t>
      </w:r>
      <w:r>
        <w:rPr>
          <w:rFonts w:hint="eastAsia" w:ascii="仿宋_GB2312" w:hAnsi="仿宋_GB2312" w:eastAsia="仿宋_GB2312" w:cs="仿宋_GB2312"/>
          <w:sz w:val="32"/>
          <w:szCs w:val="40"/>
          <w:lang w:val="en-US" w:eastAsia="zh-CN"/>
        </w:rPr>
        <w:t>积极利用信息化手段，进一步规范政务公开的形式和载体，丰富政务公开的内容和内涵，拓宽政务公开的范围和渠道，推进政务公开工作向纵深发展。充分发挥“健康普陀”微信公众号新媒体平台优势，加大政务公开的深度和广度，重点推进社会群众关注度高的事项公开，广泛宣传卫生健康政策和健康科普知识，方便群众获取更多政府信息。</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top"/>
        <w:rPr>
          <w:rStyle w:val="5"/>
          <w:rFonts w:ascii="黑体" w:hAnsi="黑体" w:eastAsia="黑体" w:cs="Arial"/>
          <w:b w:val="0"/>
          <w:color w:val="000000"/>
          <w:sz w:val="32"/>
          <w:szCs w:val="32"/>
          <w:shd w:val="clear" w:color="auto" w:fill="FFFFFF"/>
        </w:rPr>
      </w:pPr>
      <w:r>
        <w:rPr>
          <w:rStyle w:val="5"/>
          <w:rFonts w:ascii="黑体" w:hAnsi="黑体" w:eastAsia="黑体" w:cs="Arial"/>
          <w:b w:val="0"/>
          <w:color w:val="000000"/>
          <w:sz w:val="32"/>
          <w:szCs w:val="32"/>
          <w:shd w:val="clear" w:color="auto" w:fill="FFFFFF"/>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C0C02"/>
    <w:rsid w:val="01D84888"/>
    <w:rsid w:val="02F0379F"/>
    <w:rsid w:val="08F259F2"/>
    <w:rsid w:val="090B6A41"/>
    <w:rsid w:val="0DB7019A"/>
    <w:rsid w:val="10A90153"/>
    <w:rsid w:val="113C371A"/>
    <w:rsid w:val="115A7068"/>
    <w:rsid w:val="17B75FE9"/>
    <w:rsid w:val="21AA53D8"/>
    <w:rsid w:val="31345CB1"/>
    <w:rsid w:val="358C7E3C"/>
    <w:rsid w:val="3EBA2645"/>
    <w:rsid w:val="3F7E3672"/>
    <w:rsid w:val="44444E8A"/>
    <w:rsid w:val="4BCE0F5F"/>
    <w:rsid w:val="4C975013"/>
    <w:rsid w:val="4E195E12"/>
    <w:rsid w:val="4FDA48F5"/>
    <w:rsid w:val="583C0C02"/>
    <w:rsid w:val="6A0C3FBB"/>
    <w:rsid w:val="710D44FC"/>
    <w:rsid w:val="71F37801"/>
    <w:rsid w:val="744C3764"/>
    <w:rsid w:val="76266154"/>
    <w:rsid w:val="766E5C13"/>
    <w:rsid w:val="786C7F30"/>
    <w:rsid w:val="7BAD06EA"/>
    <w:rsid w:val="7F4B2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2021-12-02T05:53:00Z</dcterms:created>
  <dc:creator>Administrator</dc:creator>
  <cp:lastModifiedBy>叶家辉</cp:lastModifiedBy>
  <dcterms:modified xsi:type="dcterms:W3CDTF">2022-01-25T01:27:41Z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83DA24A9290E4BC9A0ED5500D0970169</vt:lpwstr>
  </property>
</Properties>
</file>