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融资租赁类（内资）企业注册流程</w:t>
      </w:r>
    </w:p>
    <w:p>
      <w:pPr>
        <w:numPr>
          <w:ilvl w:val="0"/>
          <w:numId w:val="1"/>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核名阶段</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核名申请书：企业名称（需3个备选名称）经营范围（核名阶段使用</w:t>
      </w:r>
      <w:r>
        <w:rPr>
          <w:rFonts w:hint="eastAsia" w:ascii="微软雅黑" w:hAnsi="微软雅黑" w:eastAsia="微软雅黑" w:cs="微软雅黑"/>
          <w:color w:val="FF0000"/>
          <w:sz w:val="21"/>
          <w:szCs w:val="21"/>
          <w:lang w:val="en-US" w:eastAsia="zh-CN"/>
        </w:rPr>
        <w:t>设备租赁</w:t>
      </w:r>
      <w:r>
        <w:rPr>
          <w:rFonts w:hint="eastAsia" w:ascii="微软雅黑" w:hAnsi="微软雅黑" w:eastAsia="微软雅黑" w:cs="微软雅黑"/>
          <w:sz w:val="21"/>
          <w:szCs w:val="21"/>
          <w:lang w:val="en-US" w:eastAsia="zh-CN"/>
        </w:rPr>
        <w:t>，并到</w:t>
      </w:r>
      <w:r>
        <w:rPr>
          <w:rFonts w:hint="eastAsia" w:ascii="微软雅黑" w:hAnsi="微软雅黑" w:eastAsia="微软雅黑" w:cs="微软雅黑"/>
          <w:color w:val="FF0000"/>
          <w:sz w:val="21"/>
          <w:szCs w:val="21"/>
          <w:lang w:val="en-US" w:eastAsia="zh-CN"/>
        </w:rPr>
        <w:t>省商务局备案</w:t>
      </w:r>
      <w:r>
        <w:rPr>
          <w:rFonts w:hint="eastAsia" w:ascii="微软雅黑" w:hAnsi="微软雅黑" w:eastAsia="微软雅黑" w:cs="微软雅黑"/>
          <w:sz w:val="21"/>
          <w:szCs w:val="21"/>
          <w:lang w:val="en-US" w:eastAsia="zh-CN"/>
        </w:rPr>
        <w:t>，材料有企业自己准备。核名成功后填写</w:t>
      </w:r>
      <w:r>
        <w:rPr>
          <w:rFonts w:hint="eastAsia" w:ascii="微软雅黑" w:hAnsi="微软雅黑" w:eastAsia="微软雅黑" w:cs="微软雅黑"/>
          <w:color w:val="FF0000"/>
          <w:sz w:val="21"/>
          <w:szCs w:val="21"/>
          <w:lang w:val="en-US" w:eastAsia="zh-CN"/>
        </w:rPr>
        <w:t>变更申请表</w:t>
      </w:r>
      <w:r>
        <w:rPr>
          <w:rFonts w:hint="eastAsia" w:ascii="微软雅黑" w:hAnsi="微软雅黑" w:eastAsia="微软雅黑" w:cs="微软雅黑"/>
          <w:sz w:val="21"/>
          <w:szCs w:val="21"/>
          <w:lang w:val="en-US" w:eastAsia="zh-CN"/>
        </w:rPr>
        <w:t>，变更为融资租赁企业）</w:t>
      </w:r>
    </w:p>
    <w:p>
      <w:pPr>
        <w:numPr>
          <w:ilvl w:val="0"/>
          <w:numId w:val="0"/>
        </w:numPr>
        <w:rPr>
          <w:rFonts w:hint="eastAsia" w:ascii="微软雅黑" w:hAnsi="微软雅黑" w:eastAsia="微软雅黑" w:cs="微软雅黑"/>
          <w:color w:val="FF0000"/>
          <w:sz w:val="21"/>
          <w:szCs w:val="21"/>
          <w:lang w:val="en-US" w:eastAsia="zh-CN"/>
        </w:rPr>
      </w:pPr>
      <w:r>
        <w:rPr>
          <w:rFonts w:hint="eastAsia" w:ascii="微软雅黑" w:hAnsi="微软雅黑" w:eastAsia="微软雅黑" w:cs="微软雅黑"/>
          <w:color w:val="FF0000"/>
          <w:sz w:val="21"/>
          <w:szCs w:val="21"/>
          <w:lang w:val="en-US" w:eastAsia="zh-CN"/>
        </w:rPr>
        <w:t>所需材料见附件一</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股东身份证明：自然人需提供身份证号码</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              法人需提供营业执照的统一社会信用代码</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经办人身份证复印件</w:t>
      </w:r>
    </w:p>
    <w:p>
      <w:pPr>
        <w:numPr>
          <w:ilvl w:val="0"/>
          <w:numId w:val="1"/>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公司设立阶段</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企业住所登记表填写，法人签字拍照并回传</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网上设立登记：1、需提供执行董事、财务、监事、联络员身份证正反面及联系方式</w:t>
      </w:r>
    </w:p>
    <w:p>
      <w:pPr>
        <w:numPr>
          <w:ilvl w:val="0"/>
          <w:numId w:val="0"/>
        </w:numPr>
        <w:ind w:firstLine="1470" w:firstLineChars="70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自然人需提供身份证正反面照片及联系方式</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              法人需提供营业执照正（副）本照片</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              2、提供住所登记表照片</w:t>
      </w:r>
    </w:p>
    <w:p>
      <w:pPr>
        <w:numPr>
          <w:ilvl w:val="0"/>
          <w:numId w:val="1"/>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工商审批阶段</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网上设立登记通过后生成综合业务受理材料，需法人签字并与住所登记表原件一起寄回</w:t>
      </w:r>
    </w:p>
    <w:p>
      <w:pPr>
        <w:numPr>
          <w:ilvl w:val="0"/>
          <w:numId w:val="1"/>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营业执照生成阶段</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工商审批通过后出营业执照，前往各正规刻章店刻章并前往各大银行网点进行开户</w:t>
      </w:r>
    </w:p>
    <w:p>
      <w:pPr>
        <w:numPr>
          <w:ilvl w:val="0"/>
          <w:numId w:val="1"/>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签三方协议</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携带营业执照前往国地税窗口领取三方协议并到银行签约</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fldChar w:fldCharType="begin"/>
      </w:r>
      <w:r>
        <w:rPr>
          <w:rFonts w:hint="eastAsia" w:ascii="微软雅黑" w:hAnsi="微软雅黑" w:eastAsia="微软雅黑" w:cs="微软雅黑"/>
          <w:sz w:val="21"/>
          <w:szCs w:val="21"/>
          <w:lang w:val="en-US" w:eastAsia="zh-CN"/>
        </w:rPr>
        <w:instrText xml:space="preserve"> HYPERLINK "C:\\Users\\apple\\Desktop\\1494206848679349996b95e5b4e612e3de20bc74818761494206709.doc" </w:instrText>
      </w:r>
      <w:r>
        <w:rPr>
          <w:rFonts w:hint="eastAsia" w:ascii="微软雅黑" w:hAnsi="微软雅黑" w:eastAsia="微软雅黑" w:cs="微软雅黑"/>
          <w:sz w:val="21"/>
          <w:szCs w:val="21"/>
          <w:lang w:val="en-US" w:eastAsia="zh-CN"/>
        </w:rPr>
        <w:fldChar w:fldCharType="separate"/>
      </w:r>
      <w:r>
        <w:rPr>
          <w:rStyle w:val="3"/>
          <w:rFonts w:hint="eastAsia" w:ascii="微软雅黑" w:hAnsi="微软雅黑" w:eastAsia="微软雅黑" w:cs="微软雅黑"/>
          <w:sz w:val="21"/>
          <w:szCs w:val="21"/>
          <w:lang w:val="en-US" w:eastAsia="zh-CN"/>
        </w:rPr>
        <w:t>C:\Users\apple\Desktop\1494206848679349996b95e5b4e612e3de20bc74818761494206709.doc</w:t>
      </w:r>
      <w:r>
        <w:rPr>
          <w:rFonts w:hint="eastAsia" w:ascii="微软雅黑" w:hAnsi="微软雅黑" w:eastAsia="微软雅黑" w:cs="微软雅黑"/>
          <w:sz w:val="21"/>
          <w:szCs w:val="21"/>
          <w:lang w:val="en-US" w:eastAsia="zh-CN"/>
        </w:rPr>
        <w:fldChar w:fldCharType="end"/>
      </w:r>
      <w:r>
        <w:rPr>
          <w:rFonts w:hint="eastAsia" w:ascii="微软雅黑" w:hAnsi="微软雅黑" w:eastAsia="微软雅黑" w:cs="微软雅黑"/>
          <w:sz w:val="21"/>
          <w:szCs w:val="21"/>
          <w:lang w:val="en-US" w:eastAsia="zh-CN"/>
        </w:rPr>
        <w:t xml:space="preserve"> </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（地税填写操作说明）填写完成后需点击验证</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三方协议三份分别给银行、国税，企业</w:t>
      </w:r>
      <w:bookmarkStart w:id="2" w:name="_GoBack"/>
      <w:bookmarkEnd w:id="2"/>
      <w:r>
        <w:rPr>
          <w:rFonts w:hint="eastAsia" w:ascii="微软雅黑" w:hAnsi="微软雅黑" w:eastAsia="微软雅黑" w:cs="微软雅黑"/>
          <w:sz w:val="21"/>
          <w:szCs w:val="21"/>
          <w:lang w:val="en-US" w:eastAsia="zh-CN"/>
        </w:rPr>
        <w:t>留存一份。</w:t>
      </w: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附件一</w:t>
      </w:r>
    </w:p>
    <w:tbl>
      <w:tblPr>
        <w:tblStyle w:val="5"/>
        <w:tblpPr w:leftFromText="180" w:rightFromText="180" w:vertAnchor="page" w:horzAnchor="page" w:tblpX="1629" w:tblpY="2217"/>
        <w:tblW w:w="9368" w:type="dxa"/>
        <w:tblInd w:w="0" w:type="dxa"/>
        <w:tblLayout w:type="fixed"/>
        <w:tblCellMar>
          <w:top w:w="0" w:type="dxa"/>
          <w:left w:w="108" w:type="dxa"/>
          <w:bottom w:w="0" w:type="dxa"/>
          <w:right w:w="108" w:type="dxa"/>
        </w:tblCellMar>
      </w:tblPr>
      <w:tblGrid>
        <w:gridCol w:w="7517"/>
        <w:gridCol w:w="1851"/>
      </w:tblGrid>
      <w:tr>
        <w:tblPrEx>
          <w:tblLayout w:type="fixed"/>
        </w:tblPrEx>
        <w:trPr>
          <w:cantSplit/>
          <w:trHeight w:val="703" w:hRule="atLeast"/>
        </w:trPr>
        <w:tc>
          <w:tcPr>
            <w:tcW w:w="7517" w:type="dxa"/>
            <w:vAlign w:val="center"/>
          </w:tcPr>
          <w:p>
            <w:pPr>
              <w:spacing w:line="900" w:lineRule="exact"/>
              <w:jc w:val="center"/>
              <w:rPr>
                <w:rFonts w:eastAsia="方正小标宋简体"/>
                <w:b/>
                <w:color w:val="FF0000"/>
                <w:sz w:val="70"/>
                <w:szCs w:val="70"/>
              </w:rPr>
            </w:pPr>
            <w:r>
              <w:rPr>
                <w:rFonts w:eastAsia="方正小标宋简体"/>
                <w:b/>
                <w:color w:val="FF0000"/>
                <w:spacing w:val="302"/>
                <w:kern w:val="0"/>
                <w:sz w:val="70"/>
                <w:szCs w:val="70"/>
                <w:fitText w:val="7239" w:id="0"/>
              </w:rPr>
              <w:t>浙江省商务</w:t>
            </w:r>
            <w:r>
              <w:rPr>
                <w:rFonts w:eastAsia="方正小标宋简体"/>
                <w:b/>
                <w:color w:val="FF0000"/>
                <w:spacing w:val="1"/>
                <w:kern w:val="0"/>
                <w:sz w:val="70"/>
                <w:szCs w:val="70"/>
                <w:fitText w:val="7239" w:id="0"/>
              </w:rPr>
              <w:t>厅</w:t>
            </w:r>
          </w:p>
        </w:tc>
        <w:tc>
          <w:tcPr>
            <w:tcW w:w="1851" w:type="dxa"/>
            <w:vMerge w:val="restart"/>
            <w:vAlign w:val="center"/>
          </w:tcPr>
          <w:p>
            <w:pPr>
              <w:spacing w:line="900" w:lineRule="exact"/>
              <w:ind w:left="1"/>
              <w:jc w:val="distribute"/>
              <w:rPr>
                <w:rFonts w:eastAsia="方正小标宋简体"/>
                <w:b/>
                <w:color w:val="FF0000"/>
                <w:sz w:val="70"/>
                <w:szCs w:val="70"/>
              </w:rPr>
            </w:pPr>
            <w:r>
              <w:rPr>
                <w:rFonts w:eastAsia="方正小标宋简体"/>
                <w:b/>
                <w:color w:val="FF0000"/>
                <w:sz w:val="70"/>
                <w:szCs w:val="70"/>
              </w:rPr>
              <w:t>文件</w:t>
            </w:r>
          </w:p>
        </w:tc>
      </w:tr>
      <w:tr>
        <w:tblPrEx>
          <w:tblLayout w:type="fixed"/>
          <w:tblCellMar>
            <w:top w:w="0" w:type="dxa"/>
            <w:left w:w="108" w:type="dxa"/>
            <w:bottom w:w="0" w:type="dxa"/>
            <w:right w:w="108" w:type="dxa"/>
          </w:tblCellMar>
        </w:tblPrEx>
        <w:trPr>
          <w:cantSplit/>
          <w:trHeight w:val="703" w:hRule="atLeast"/>
        </w:trPr>
        <w:tc>
          <w:tcPr>
            <w:tcW w:w="7517" w:type="dxa"/>
            <w:vAlign w:val="center"/>
          </w:tcPr>
          <w:p>
            <w:pPr>
              <w:spacing w:line="900" w:lineRule="exact"/>
              <w:jc w:val="center"/>
              <w:rPr>
                <w:rFonts w:eastAsia="方正小标宋简体"/>
                <w:b/>
                <w:color w:val="FF0000"/>
                <w:kern w:val="0"/>
                <w:sz w:val="70"/>
                <w:szCs w:val="70"/>
              </w:rPr>
            </w:pPr>
            <w:r>
              <w:rPr>
                <w:rFonts w:hint="eastAsia" w:eastAsia="方正小标宋简体"/>
                <w:b/>
                <w:color w:val="FF0000"/>
                <w:spacing w:val="115"/>
                <w:kern w:val="0"/>
                <w:sz w:val="70"/>
                <w:szCs w:val="70"/>
                <w:fitText w:val="7239" w:id="1"/>
              </w:rPr>
              <w:t>浙江省国家税务</w:t>
            </w:r>
            <w:r>
              <w:rPr>
                <w:rFonts w:hint="eastAsia" w:eastAsia="方正小标宋简体"/>
                <w:b/>
                <w:color w:val="FF0000"/>
                <w:spacing w:val="4"/>
                <w:kern w:val="0"/>
                <w:sz w:val="70"/>
                <w:szCs w:val="70"/>
                <w:fitText w:val="7239" w:id="1"/>
              </w:rPr>
              <w:t>局</w:t>
            </w:r>
          </w:p>
        </w:tc>
        <w:tc>
          <w:tcPr>
            <w:tcW w:w="1851" w:type="dxa"/>
            <w:vMerge w:val="continue"/>
            <w:vAlign w:val="top"/>
          </w:tcPr>
          <w:p>
            <w:pPr>
              <w:spacing w:line="900" w:lineRule="exact"/>
              <w:jc w:val="distribute"/>
              <w:rPr>
                <w:rFonts w:eastAsia="方正小标宋简体"/>
                <w:b/>
                <w:color w:val="FF0000"/>
                <w:sz w:val="70"/>
                <w:szCs w:val="70"/>
              </w:rPr>
            </w:pPr>
          </w:p>
        </w:tc>
      </w:tr>
    </w:tbl>
    <w:p>
      <w:pPr>
        <w:spacing w:line="520" w:lineRule="exact"/>
        <w:jc w:val="right"/>
        <w:rPr>
          <w:rFonts w:eastAsia="仿宋_GB2312"/>
          <w:sz w:val="32"/>
          <w:szCs w:val="32"/>
        </w:rPr>
      </w:pPr>
    </w:p>
    <w:p>
      <w:pPr>
        <w:spacing w:line="520" w:lineRule="exact"/>
        <w:jc w:val="center"/>
        <w:rPr>
          <w:rFonts w:hint="eastAsia" w:eastAsia="仿宋_GB2312"/>
          <w:sz w:val="32"/>
          <w:szCs w:val="32"/>
        </w:rPr>
      </w:pPr>
    </w:p>
    <w:p>
      <w:pPr>
        <w:spacing w:line="520" w:lineRule="exact"/>
        <w:jc w:val="center"/>
        <w:rPr>
          <w:rFonts w:eastAsia="仿宋_GB2312"/>
          <w:sz w:val="32"/>
          <w:szCs w:val="32"/>
        </w:rPr>
      </w:pPr>
    </w:p>
    <w:p>
      <w:pPr>
        <w:tabs>
          <w:tab w:val="center" w:pos="4365"/>
          <w:tab w:val="left" w:pos="6708"/>
        </w:tabs>
        <w:spacing w:line="520" w:lineRule="exact"/>
        <w:jc w:val="left"/>
        <w:rPr>
          <w:rFonts w:eastAsia="仿宋_GB2312"/>
          <w:color w:val="000000"/>
          <w:sz w:val="32"/>
          <w:szCs w:val="32"/>
        </w:rPr>
      </w:pPr>
      <w:r>
        <w:rPr>
          <w:rFonts w:eastAsia="仿宋_GB2312"/>
          <w:color w:val="000000"/>
          <w:sz w:val="32"/>
          <w:szCs w:val="32"/>
        </w:rPr>
        <w:tab/>
      </w:r>
      <w:r>
        <w:rPr>
          <w:rFonts w:eastAsia="仿宋_GB2312"/>
          <w:color w:val="000000"/>
          <w:sz w:val="32"/>
          <w:szCs w:val="32"/>
        </w:rPr>
        <w:t>浙商务联发〔2017〕</w:t>
      </w:r>
      <w:r>
        <w:rPr>
          <w:rFonts w:hint="eastAsia" w:eastAsia="仿宋_GB2312"/>
          <w:color w:val="000000"/>
          <w:sz w:val="32"/>
          <w:szCs w:val="32"/>
        </w:rPr>
        <w:t>43</w:t>
      </w:r>
      <w:r>
        <w:rPr>
          <w:rFonts w:eastAsia="仿宋_GB2312"/>
          <w:color w:val="000000"/>
          <w:sz w:val="32"/>
          <w:szCs w:val="32"/>
        </w:rPr>
        <w:t>号</w:t>
      </w:r>
      <w:r>
        <w:rPr>
          <w:rFonts w:eastAsia="仿宋_GB2312"/>
          <w:color w:val="000000"/>
          <w:sz w:val="20"/>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457825" cy="0"/>
                <wp:effectExtent l="0" t="0" r="0" b="0"/>
                <wp:wrapNone/>
                <wp:docPr id="1" name="直线 2"/>
                <wp:cNvGraphicFramePr/>
                <a:graphic xmlns:a="http://schemas.openxmlformats.org/drawingml/2006/main">
                  <a:graphicData uri="http://schemas.microsoft.com/office/word/2010/wordprocessingShape">
                    <wps:wsp>
                      <wps:cNvCnPr/>
                      <wps:spPr>
                        <a:xfrm>
                          <a:off x="0" y="0"/>
                          <a:ext cx="5457825" cy="0"/>
                        </a:xfrm>
                        <a:prstGeom prst="line">
                          <a:avLst/>
                        </a:prstGeom>
                        <a:ln w="25400">
                          <a:noFill/>
                        </a:ln>
                      </wps:spPr>
                      <wps:bodyPr upright="1"/>
                    </wps:wsp>
                  </a:graphicData>
                </a:graphic>
              </wp:anchor>
            </w:drawing>
          </mc:Choice>
          <mc:Fallback>
            <w:pict>
              <v:line id="直线 2" o:spid="_x0000_s1026" o:spt="20" style="position:absolute;left:0pt;margin-left:0pt;margin-top:0pt;height:0pt;width:429.75pt;z-index:251658240;mso-width-relative:page;mso-height-relative:page;" filled="f" stroked="f" coordsize="21600,21600" o:gfxdata="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">
                <v:fill on="f" focussize="0,0"/>
                <v:stroke on="f" weight="2pt"/>
                <v:imagedata o:title=""/>
                <o:lock v:ext="edit" aspectratio="f"/>
              </v:line>
            </w:pict>
          </mc:Fallback>
        </mc:AlternateContent>
      </w:r>
      <w:r>
        <w:rPr>
          <w:rFonts w:eastAsia="仿宋_GB2312"/>
          <w:color w:val="000000"/>
          <w:sz w:val="32"/>
          <w:szCs w:val="32"/>
        </w:rPr>
        <w:tab/>
      </w:r>
    </w:p>
    <w:p>
      <w:pPr>
        <w:tabs>
          <w:tab w:val="center" w:pos="4308"/>
          <w:tab w:val="left" w:pos="8022"/>
        </w:tabs>
        <w:spacing w:line="520" w:lineRule="exact"/>
        <w:jc w:val="center"/>
        <w:rPr>
          <w:rFonts w:eastAsia="宋体-方正超大字符集"/>
          <w:b/>
          <w:bCs/>
          <w:color w:val="000000"/>
          <w:spacing w:val="6"/>
          <w:sz w:val="36"/>
          <w:szCs w:val="36"/>
        </w:rPr>
      </w:pPr>
      <w:r>
        <w:rPr>
          <w:rFonts w:eastAsia="仿宋_GB2312"/>
          <w:color w:val="000000"/>
          <w:sz w:val="20"/>
          <w:szCs w:val="32"/>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298450</wp:posOffset>
                </wp:positionV>
                <wp:extent cx="5821680" cy="0"/>
                <wp:effectExtent l="0" t="19050" r="7620" b="19050"/>
                <wp:wrapNone/>
                <wp:docPr id="2" name="直线 3"/>
                <wp:cNvGraphicFramePr/>
                <a:graphic xmlns:a="http://schemas.openxmlformats.org/drawingml/2006/main">
                  <a:graphicData uri="http://schemas.microsoft.com/office/word/2010/wordprocessingShape">
                    <wps:wsp>
                      <wps:cNvCnPr/>
                      <wps:spPr>
                        <a:xfrm>
                          <a:off x="0" y="0"/>
                          <a:ext cx="582168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9.55pt;margin-top:23.5pt;height:0pt;width:458.4pt;z-index:251659264;mso-width-relative:page;mso-height-relative:page;" filled="f" stroked="t" coordsize="21600,21600" o:gfxdata="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04H4YtoAAAAJAQAADwAAAAAAAAABACAAAAAi&#10;AAAAZHJzL2Rvd25yZXYueG1sUEsBAhQAFAAAAAgAh07iQPT4p9DPAQAAjgMAAA4AAAAAAAAAAQAg&#10;AAAAKQEAAGRycy9lMm9Eb2MueG1sUEsFBgAAAAAGAAYAWQEAAGoFAAAAAA==&#10;">
                <v:fill on="f" focussize="0,0"/>
                <v:stroke weight="3pt" color="#FF0000" joinstyle="round"/>
                <v:imagedata o:title=""/>
                <o:lock v:ext="edit" aspectratio="f"/>
              </v:line>
            </w:pict>
          </mc:Fallback>
        </mc:AlternateContent>
      </w:r>
    </w:p>
    <w:p>
      <w:pPr>
        <w:tabs>
          <w:tab w:val="center" w:pos="4308"/>
          <w:tab w:val="left" w:pos="8022"/>
        </w:tabs>
        <w:spacing w:line="640" w:lineRule="exact"/>
        <w:jc w:val="center"/>
        <w:rPr>
          <w:b/>
          <w:bCs/>
          <w:color w:val="000000"/>
          <w:spacing w:val="6"/>
          <w:sz w:val="42"/>
          <w:szCs w:val="42"/>
        </w:rPr>
      </w:pPr>
    </w:p>
    <w:p>
      <w:pPr>
        <w:jc w:val="center"/>
        <w:rPr>
          <w:rFonts w:hint="eastAsia" w:ascii="方正小标宋简体" w:hAnsi="Calibri" w:eastAsia="方正小标宋简体"/>
          <w:b/>
          <w:sz w:val="44"/>
          <w:szCs w:val="44"/>
        </w:rPr>
      </w:pPr>
      <w:bookmarkStart w:id="0" w:name="标题"/>
      <w:r>
        <w:rPr>
          <w:rFonts w:hint="eastAsia" w:ascii="方正小标宋简体" w:hAnsi="Calibri" w:eastAsia="方正小标宋简体"/>
          <w:b/>
          <w:sz w:val="44"/>
          <w:szCs w:val="44"/>
        </w:rPr>
        <w:t>浙江省商务厅 浙江省国家税务局</w:t>
      </w:r>
    </w:p>
    <w:p>
      <w:pPr>
        <w:jc w:val="center"/>
        <w:rPr>
          <w:rFonts w:hint="eastAsia" w:ascii="方正小标宋简体" w:hAnsi="Calibri" w:eastAsia="方正小标宋简体"/>
          <w:b/>
          <w:sz w:val="44"/>
          <w:szCs w:val="44"/>
        </w:rPr>
      </w:pPr>
      <w:r>
        <w:rPr>
          <w:rFonts w:hint="eastAsia" w:ascii="方正小标宋简体" w:hAnsi="Calibri" w:eastAsia="方正小标宋简体"/>
          <w:b/>
          <w:sz w:val="44"/>
          <w:szCs w:val="44"/>
        </w:rPr>
        <w:t>关于中国（浙江）自由贸易试验区</w:t>
      </w:r>
    </w:p>
    <w:p>
      <w:pPr>
        <w:jc w:val="center"/>
        <w:rPr>
          <w:rFonts w:hint="eastAsia" w:ascii="方正小标宋简体" w:hAnsi="Calibri" w:eastAsia="方正小标宋简体"/>
          <w:b/>
          <w:sz w:val="44"/>
          <w:szCs w:val="44"/>
        </w:rPr>
      </w:pPr>
      <w:r>
        <w:rPr>
          <w:rFonts w:hint="eastAsia" w:ascii="方正小标宋简体" w:hAnsi="Calibri" w:eastAsia="方正小标宋简体"/>
          <w:b/>
          <w:sz w:val="44"/>
          <w:szCs w:val="44"/>
        </w:rPr>
        <w:t>内资租赁企业从事融资租赁业务</w:t>
      </w:r>
    </w:p>
    <w:p>
      <w:pPr>
        <w:jc w:val="center"/>
        <w:rPr>
          <w:rFonts w:ascii="方正小标宋简体" w:hAnsi="Calibri" w:eastAsia="方正小标宋简体"/>
          <w:b/>
          <w:sz w:val="44"/>
          <w:szCs w:val="44"/>
        </w:rPr>
      </w:pPr>
      <w:r>
        <w:rPr>
          <w:rFonts w:hint="eastAsia" w:ascii="方正小标宋简体" w:hAnsi="Calibri" w:eastAsia="方正小标宋简体"/>
          <w:b/>
          <w:sz w:val="44"/>
          <w:szCs w:val="44"/>
        </w:rPr>
        <w:t>有关事项的通知</w:t>
      </w:r>
      <w:bookmarkEnd w:id="0"/>
    </w:p>
    <w:p>
      <w:pPr>
        <w:jc w:val="left"/>
        <w:rPr>
          <w:rFonts w:ascii="仿宋_GB2312" w:eastAsia="仿宋_GB2312"/>
          <w:sz w:val="32"/>
          <w:szCs w:val="32"/>
        </w:rPr>
      </w:pPr>
    </w:p>
    <w:p>
      <w:pPr>
        <w:spacing w:line="660" w:lineRule="exact"/>
        <w:jc w:val="left"/>
        <w:rPr>
          <w:rFonts w:ascii="仿宋_GB2312" w:hAnsi="Calibri" w:eastAsia="仿宋_GB2312"/>
          <w:sz w:val="32"/>
          <w:szCs w:val="32"/>
        </w:rPr>
      </w:pPr>
      <w:bookmarkStart w:id="1" w:name="主送"/>
      <w:r>
        <w:rPr>
          <w:rFonts w:hint="eastAsia" w:ascii="仿宋_GB2312" w:hAnsi="Calibri" w:eastAsia="仿宋_GB2312"/>
          <w:sz w:val="32"/>
          <w:szCs w:val="32"/>
        </w:rPr>
        <w:t>各市、县（市、区）商务主管部门、</w:t>
      </w:r>
      <w:bookmarkEnd w:id="1"/>
      <w:r>
        <w:rPr>
          <w:rFonts w:hint="eastAsia" w:ascii="仿宋_GB2312" w:hAnsi="Calibri" w:eastAsia="仿宋_GB2312"/>
          <w:sz w:val="32"/>
          <w:szCs w:val="32"/>
        </w:rPr>
        <w:t>国家税务局:</w:t>
      </w:r>
    </w:p>
    <w:p>
      <w:pPr>
        <w:widowControl/>
        <w:spacing w:line="6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根据《商务部 税务总局关于辽宁等7个自由贸易试验区内资租赁企业从事融资租赁业务有关问题的通知》（商流通函〔2017〕270号）规定，自2017年6月15日起，受商务部和税务总局委托，省商务厅、省国税局负责中国（浙江）自由贸易试验区（以下简称自贸试验区）内资租赁企业从事融资租赁业务试点确认工作。现将有关事项通知如下：</w:t>
      </w:r>
    </w:p>
    <w:p>
      <w:pPr>
        <w:widowControl/>
        <w:spacing w:line="66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一、申报条件</w:t>
      </w:r>
    </w:p>
    <w:p>
      <w:pPr>
        <w:widowControl/>
        <w:spacing w:line="6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申报试点的企业要求主业突出、资金来源稳定、股权关系简单透明、公司治理结构健全、发展战略和盈利模式清晰，并具备《商务部国家税务总局关于从事融资租赁业务有关问题的通知》（商建发〔2004〕560号，以下简称560号文）规定的基本条件，具体包括：</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（一）最低注册资本金应达到1.7亿元，并实缴到位。</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（二）具有健全的内部管理制度和风险控制制度。</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（三）拥有相应的金融、贸易、法律、会计等方面的专业人员，高级管理人员应具有不少于三年的融资租赁业等相关行业管理工作经验。</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（四）近两年经营业绩良好，没有违法违规记录。</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（五）具有与所从事融资租赁产品相关联的行业背景。</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（六）法律法规规定的其他条件。</w:t>
      </w:r>
    </w:p>
    <w:p>
      <w:pPr>
        <w:widowControl/>
        <w:spacing w:line="66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二、申报材料</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一）试点申请书。主要内容应包括企业名称、注册地、实收资本金、股权结构、股东信息、经营范围、上一年简要经营情况（含纳税情况）、拟开展融资租赁业务的可行性报告（主要业务领域、业务模式、资金来源、未来</w:t>
      </w:r>
      <w:r>
        <w:rPr>
          <w:rFonts w:hint="eastAsia" w:ascii="仿宋" w:hAnsi="仿宋" w:eastAsia="仿宋"/>
          <w:kern w:val="0"/>
          <w:sz w:val="32"/>
          <w:szCs w:val="32"/>
        </w:rPr>
        <w:t>3</w:t>
      </w:r>
      <w:r>
        <w:rPr>
          <w:rFonts w:hint="eastAsia" w:ascii="仿宋" w:hAnsi="仿宋" w:eastAsia="仿宋" w:cs="宋体"/>
          <w:kern w:val="0"/>
          <w:sz w:val="32"/>
          <w:szCs w:val="32"/>
        </w:rPr>
        <w:t>年业务总体规划等）。股东信息包括所有股东名称、法定代表人、注册地址、营业执照复印件、主营业务范围以及上一年营业收入、利润、净资产总额、负债率等简要情况。</w:t>
      </w:r>
    </w:p>
    <w:p>
      <w:pPr>
        <w:widowControl/>
        <w:spacing w:line="660" w:lineRule="exact"/>
        <w:ind w:firstLine="480"/>
        <w:rPr>
          <w:rFonts w:hint="eastAsia" w:ascii="仿宋" w:hAnsi="仿宋" w:eastAsia="仿宋" w:cs="宋体"/>
          <w:kern w:val="0"/>
          <w:sz w:val="32"/>
          <w:szCs w:val="32"/>
        </w:rPr>
      </w:pPr>
      <w:r>
        <w:rPr>
          <w:rFonts w:hint="eastAsia" w:ascii="仿宋" w:hAnsi="仿宋" w:eastAsia="仿宋" w:cs="宋体"/>
          <w:kern w:val="0"/>
          <w:sz w:val="32"/>
          <w:szCs w:val="32"/>
        </w:rPr>
        <w:t>（二）营业执照副本（复印件）。</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（三）验资报告（如多次验资，每次验资报告均需提供）。</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（四）注册资本金来源说明。</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（五）公司章程、内部管理制度及风险控制制度等文件。</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（六）拟任（或现任）董事长、总经理、财务负责人、风控负责人等主要高管名单、从业履历、资格证书及相关行业从业经验证明材料等。</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（七）申请企业经审计的近三年完整的财务会计报告和最近一期的财务报表（含附注，新建企业提供所有法人股东上述材料）</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（八）法人股东近两年经审计的财务会计报告（含附注）。</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（九）市场监管部门出具的近两年无违规经营的证明，税务主管部门出具的近两年依法纳税情况说明（新建企业提供所有法人股东上述材料）。</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十）如关联企业中有从事典当、小额贷款、信托、融资性担保、融资租赁、商业保理、互联网金融等业务的，需提供与关联企业的关系，以及相关业务上一年简要经营情况，主要包括业务收入、利润、净资产总额、负债率等。</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十一）由具备从业资格的融资租赁公司发起成立的企业或拟成立的子公司，还需提供股东（母公司）上一年度融资租赁业务的详细经营情况，具体为全国融资租赁企业管理信息系统的年度经营情况表所载内容及对有关数据的详细分析说明。</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（十二）申请企业对申报材料真实性的承诺函。</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以上材料（含复印件）均需加盖公司印章，一式四份，装订成册。</w:t>
      </w:r>
    </w:p>
    <w:p>
      <w:pPr>
        <w:widowControl/>
        <w:spacing w:line="660" w:lineRule="exact"/>
        <w:ind w:firstLine="480"/>
        <w:rPr>
          <w:rFonts w:ascii="黑体" w:hAnsi="黑体" w:eastAsia="黑体" w:cs="宋体"/>
          <w:b/>
          <w:kern w:val="0"/>
          <w:sz w:val="32"/>
          <w:szCs w:val="32"/>
        </w:rPr>
      </w:pPr>
      <w:r>
        <w:rPr>
          <w:rFonts w:hint="eastAsia" w:ascii="黑体" w:hAnsi="黑体" w:eastAsia="黑体" w:cs="宋体"/>
          <w:b/>
          <w:kern w:val="0"/>
          <w:sz w:val="32"/>
          <w:szCs w:val="32"/>
        </w:rPr>
        <w:t>三、申报程序</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（一）在自贸试验区注册的，申请从事内资融资租赁业务试点的企业，向舟山市商务局递交申报材料（一式四份）。</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（二）舟山市商务局按要求对企业申报材料进行初审，向税务机关核实企业（或股东）依法纳税情况，对通过初审的企业出具推荐函，并随同申报材料一式三份报省商务厅。</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（三）省商务厅会同省国税局对申报材料进行审查。对符合条件的企业，由省商务厅、省国税局联合发布公告。企业持批复文件至注册地市场监管部门办理增项业务。</w:t>
      </w:r>
    </w:p>
    <w:p>
      <w:pPr>
        <w:widowControl/>
        <w:spacing w:line="660" w:lineRule="exact"/>
        <w:ind w:firstLine="480"/>
        <w:rPr>
          <w:rFonts w:ascii="黑体" w:hAnsi="黑体" w:eastAsia="黑体" w:cs="宋体"/>
          <w:b/>
          <w:kern w:val="0"/>
          <w:sz w:val="32"/>
          <w:szCs w:val="32"/>
        </w:rPr>
      </w:pPr>
      <w:r>
        <w:rPr>
          <w:rFonts w:hint="eastAsia" w:ascii="宋体" w:hAnsi="宋体" w:cs="宋体"/>
          <w:kern w:val="0"/>
          <w:sz w:val="32"/>
          <w:szCs w:val="32"/>
        </w:rPr>
        <w:t> </w:t>
      </w:r>
      <w:r>
        <w:rPr>
          <w:rFonts w:hint="eastAsia" w:ascii="黑体" w:hAnsi="黑体" w:eastAsia="黑体" w:cs="宋体"/>
          <w:b/>
          <w:kern w:val="0"/>
          <w:sz w:val="32"/>
          <w:szCs w:val="32"/>
        </w:rPr>
        <w:t>四、有关要求</w:t>
      </w:r>
    </w:p>
    <w:p>
      <w:pPr>
        <w:widowControl/>
        <w:spacing w:line="6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（一）做好信息报送工作。</w:t>
      </w:r>
      <w:r>
        <w:rPr>
          <w:rFonts w:hint="eastAsia" w:ascii="仿宋" w:hAnsi="仿宋" w:eastAsia="仿宋" w:cs="宋体"/>
          <w:kern w:val="0"/>
          <w:sz w:val="32"/>
          <w:szCs w:val="32"/>
        </w:rPr>
        <w:t>舟山市商务局应指导试点企业及时登录全国融资租赁企业管理信息系统和浙江省融资租赁行业综合管理信息系统填报有关信息，按时完成信息季报、年报工作。同时，舟山市商务局应于每季度结束后10个工作日内将试点工作开展情况和上季试点企业变更工商登记情况报送省商务厅，抄送省国税局。</w:t>
      </w:r>
    </w:p>
    <w:p>
      <w:pPr>
        <w:widowControl/>
        <w:spacing w:line="6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（二）加强行业风险监管。</w:t>
      </w:r>
      <w:r>
        <w:rPr>
          <w:rFonts w:hint="eastAsia" w:ascii="仿宋" w:hAnsi="仿宋" w:eastAsia="仿宋" w:cs="宋体"/>
          <w:kern w:val="0"/>
          <w:sz w:val="32"/>
          <w:szCs w:val="32"/>
        </w:rPr>
        <w:t>舟山市商务局应加强属地监管。要利用现场和非现场相结合的监管方式，强化对试点企业风险防控重点环节，以及非法集资、吸收存款、发放贷款等违法违规行为的监管，要加强风险监测、分析和预警，切实防范出现区域性、系统性风险。对不按要求报送企业相关信息，在一年以上未实质性开展融资租赁业务，以及发生违法违规行为的试点企业，省商务厅将会同省国税局取消其试点资格。</w:t>
      </w:r>
    </w:p>
    <w:p>
      <w:pPr>
        <w:widowControl/>
        <w:spacing w:line="660" w:lineRule="exact"/>
        <w:ind w:firstLine="643" w:firstLineChars="200"/>
        <w:jc w:val="left"/>
        <w:rPr>
          <w:rFonts w:ascii="仿宋" w:hAnsi="仿宋" w:eastAsia="仿宋" w:cs="宋体"/>
          <w:kern w:val="0"/>
          <w:sz w:val="32"/>
          <w:szCs w:val="32"/>
        </w:rPr>
      </w:pPr>
      <w:r>
        <w:rPr>
          <w:rFonts w:hint="eastAsia" w:ascii="楷体" w:hAnsi="楷体" w:eastAsia="楷体" w:cs="宋体"/>
          <w:b/>
          <w:kern w:val="0"/>
          <w:sz w:val="32"/>
          <w:szCs w:val="32"/>
        </w:rPr>
        <w:t>（三）规范企业变更管理。</w:t>
      </w:r>
      <w:r>
        <w:rPr>
          <w:rFonts w:hint="eastAsia" w:ascii="仿宋" w:hAnsi="仿宋" w:eastAsia="仿宋" w:cs="宋体"/>
          <w:kern w:val="0"/>
          <w:sz w:val="32"/>
          <w:szCs w:val="32"/>
        </w:rPr>
        <w:t>自贸试验区内的试点企业变更名称、异地迁址、增减注册资本金、改变组织形式、调整产业结构等，应在办理工商变更登记后5个工作日内将变更内容报省商务厅备案。其他工商登记注册地变更到自贸试验区内的内资融资租赁企业，应及时将原申报材料和批准文件、变更后的营业执照复印件报省商务厅备案，按试点企业进行管理，并享受同等待遇。试点企业工商登记信息发生变更后，其注册资金、高管人员、关联企业等应符合试点申报条件，并及时登陆融资租赁信息系统修改相关信息。对于纳入试点范围的企业，如迁出自贸试验区，应当按自贸试验区外企业申报试点现行规定重新申报确定试点资格。</w:t>
      </w:r>
    </w:p>
    <w:p>
      <w:pPr>
        <w:widowControl/>
        <w:spacing w:line="660" w:lineRule="exact"/>
        <w:jc w:val="left"/>
        <w:rPr>
          <w:rFonts w:hint="eastAsia" w:ascii="楷体" w:hAnsi="楷体" w:eastAsia="楷体" w:cs="宋体"/>
          <w:b/>
          <w:kern w:val="0"/>
          <w:sz w:val="32"/>
          <w:szCs w:val="32"/>
        </w:rPr>
      </w:pPr>
    </w:p>
    <w:p>
      <w:pPr>
        <w:widowControl/>
        <w:spacing w:line="660" w:lineRule="exact"/>
        <w:jc w:val="left"/>
        <w:rPr>
          <w:rFonts w:hint="eastAsia" w:ascii="楷体" w:hAnsi="楷体" w:eastAsia="楷体" w:cs="宋体"/>
          <w:b/>
          <w:kern w:val="0"/>
          <w:sz w:val="32"/>
          <w:szCs w:val="32"/>
        </w:rPr>
      </w:pPr>
    </w:p>
    <w:p>
      <w:pPr>
        <w:widowControl/>
        <w:spacing w:line="660" w:lineRule="exact"/>
        <w:jc w:val="left"/>
        <w:rPr>
          <w:rFonts w:hint="eastAsia" w:ascii="楷体" w:hAnsi="楷体" w:eastAsia="楷体" w:cs="宋体"/>
          <w:b/>
          <w:kern w:val="0"/>
          <w:sz w:val="32"/>
          <w:szCs w:val="32"/>
        </w:rPr>
      </w:pPr>
    </w:p>
    <w:p>
      <w:pPr>
        <w:widowControl/>
        <w:spacing w:line="660" w:lineRule="exact"/>
        <w:jc w:val="center"/>
        <w:rPr>
          <w:rFonts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浙江省商务厅</w:t>
      </w:r>
      <w:r>
        <w:rPr>
          <w:rFonts w:hint="eastAsia" w:ascii="宋体" w:hAnsi="宋体" w:cs="宋体"/>
          <w:kern w:val="0"/>
          <w:sz w:val="32"/>
          <w:szCs w:val="32"/>
        </w:rPr>
        <w:t>  </w:t>
      </w:r>
      <w:r>
        <w:rPr>
          <w:rFonts w:hint="eastAsia" w:ascii="仿宋" w:hAnsi="仿宋" w:eastAsia="仿宋" w:cs="宋体"/>
          <w:kern w:val="0"/>
          <w:sz w:val="32"/>
          <w:szCs w:val="32"/>
        </w:rPr>
        <w:t>浙江省国家税务局</w:t>
      </w:r>
    </w:p>
    <w:p>
      <w:pPr>
        <w:widowControl/>
        <w:spacing w:line="660" w:lineRule="exact"/>
        <w:ind w:firstLine="5920" w:firstLineChars="1850"/>
        <w:rPr>
          <w:rFonts w:ascii="仿宋" w:hAnsi="仿宋" w:eastAsia="仿宋"/>
          <w:sz w:val="32"/>
          <w:szCs w:val="32"/>
        </w:rPr>
      </w:pPr>
      <w:r>
        <w:rPr>
          <w:rFonts w:hint="eastAsia" w:ascii="仿宋" w:hAnsi="仿宋" w:eastAsia="仿宋" w:cs="宋体"/>
          <w:kern w:val="0"/>
          <w:sz w:val="32"/>
          <w:szCs w:val="32"/>
        </w:rPr>
        <w:t>2017年7月7日</w:t>
      </w:r>
    </w:p>
    <w:p>
      <w:pPr>
        <w:spacing w:line="500" w:lineRule="exact"/>
        <w:ind w:firstLine="1540" w:firstLineChars="500"/>
        <w:rPr>
          <w:rFonts w:eastAsia="仿宋_GB2312"/>
          <w:color w:val="000000"/>
          <w:spacing w:val="-6"/>
          <w:sz w:val="32"/>
          <w:szCs w:val="32"/>
        </w:rPr>
      </w:pPr>
    </w:p>
    <w:p>
      <w:pPr>
        <w:spacing w:line="600" w:lineRule="exact"/>
        <w:jc w:val="left"/>
        <w:rPr>
          <w:rFonts w:hint="eastAsia" w:eastAsia="黑体"/>
          <w:sz w:val="32"/>
          <w:szCs w:val="32"/>
        </w:rPr>
      </w:pPr>
    </w:p>
    <w:p>
      <w:pPr>
        <w:spacing w:line="600" w:lineRule="exact"/>
        <w:jc w:val="left"/>
        <w:rPr>
          <w:rFonts w:hint="eastAsia" w:eastAsia="黑体"/>
          <w:sz w:val="32"/>
          <w:szCs w:val="32"/>
        </w:rPr>
      </w:pPr>
    </w:p>
    <w:p>
      <w:pPr>
        <w:spacing w:line="600" w:lineRule="exact"/>
        <w:jc w:val="left"/>
        <w:rPr>
          <w:rFonts w:hint="eastAsia" w:eastAsia="黑体"/>
          <w:sz w:val="32"/>
          <w:szCs w:val="32"/>
        </w:rPr>
      </w:pPr>
    </w:p>
    <w:p>
      <w:pPr>
        <w:spacing w:line="600" w:lineRule="exact"/>
        <w:jc w:val="left"/>
        <w:rPr>
          <w:rFonts w:hint="eastAsia" w:eastAsia="黑体"/>
          <w:sz w:val="32"/>
          <w:szCs w:val="32"/>
        </w:rPr>
      </w:pPr>
    </w:p>
    <w:p>
      <w:pPr>
        <w:spacing w:line="600" w:lineRule="exact"/>
        <w:jc w:val="left"/>
        <w:rPr>
          <w:rFonts w:hint="eastAsia" w:eastAsia="黑体"/>
          <w:sz w:val="32"/>
          <w:szCs w:val="32"/>
        </w:rPr>
      </w:pPr>
    </w:p>
    <w:p>
      <w:pPr>
        <w:spacing w:line="600" w:lineRule="exact"/>
        <w:jc w:val="left"/>
        <w:rPr>
          <w:rFonts w:hint="eastAsia" w:eastAsia="黑体"/>
          <w:sz w:val="32"/>
          <w:szCs w:val="32"/>
        </w:rPr>
      </w:pPr>
    </w:p>
    <w:p>
      <w:pPr>
        <w:spacing w:line="600" w:lineRule="exact"/>
        <w:jc w:val="left"/>
        <w:rPr>
          <w:rFonts w:hint="eastAsia" w:eastAsia="黑体"/>
          <w:sz w:val="32"/>
          <w:szCs w:val="32"/>
        </w:rPr>
      </w:pPr>
    </w:p>
    <w:p>
      <w:pPr>
        <w:widowControl/>
        <w:spacing w:line="540" w:lineRule="exact"/>
        <w:jc w:val="left"/>
        <w:rPr>
          <w:rFonts w:hint="eastAsia" w:eastAsia="仿宋_GB2312"/>
          <w:color w:val="1F497D"/>
          <w:sz w:val="32"/>
          <w:szCs w:val="32"/>
        </w:rPr>
      </w:pPr>
    </w:p>
    <w:p>
      <w:pPr>
        <w:widowControl/>
        <w:spacing w:line="540" w:lineRule="exact"/>
        <w:jc w:val="left"/>
        <w:rPr>
          <w:rFonts w:hint="eastAsia" w:eastAsia="仿宋_GB2312"/>
          <w:color w:val="1F497D"/>
          <w:sz w:val="32"/>
          <w:szCs w:val="32"/>
        </w:rPr>
      </w:pPr>
    </w:p>
    <w:p>
      <w:pPr>
        <w:widowControl/>
        <w:spacing w:line="540" w:lineRule="exact"/>
        <w:jc w:val="left"/>
        <w:rPr>
          <w:rFonts w:hint="eastAsia" w:eastAsia="仿宋_GB2312"/>
          <w:color w:val="1F497D"/>
          <w:sz w:val="32"/>
          <w:szCs w:val="32"/>
        </w:rPr>
      </w:pPr>
    </w:p>
    <w:p>
      <w:pPr>
        <w:widowControl/>
        <w:spacing w:line="540" w:lineRule="exact"/>
        <w:jc w:val="left"/>
        <w:rPr>
          <w:rFonts w:hint="eastAsia" w:eastAsia="仿宋_GB2312"/>
          <w:color w:val="1F497D"/>
          <w:sz w:val="32"/>
          <w:szCs w:val="32"/>
        </w:rPr>
      </w:pPr>
    </w:p>
    <w:tbl>
      <w:tblPr>
        <w:tblStyle w:val="5"/>
        <w:tblpPr w:leftFromText="181" w:rightFromText="181" w:vertAnchor="page" w:horzAnchor="page" w:tblpX="1762" w:tblpY="13333"/>
        <w:tblW w:w="8751"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12" w:space="0"/>
        </w:tblBorders>
        <w:tblLayout w:type="fixed"/>
        <w:tblCellMar>
          <w:top w:w="0" w:type="dxa"/>
          <w:left w:w="108" w:type="dxa"/>
          <w:bottom w:w="0" w:type="dxa"/>
          <w:right w:w="108" w:type="dxa"/>
        </w:tblCellMar>
      </w:tblPr>
      <w:tblGrid>
        <w:gridCol w:w="8751"/>
      </w:tblGrid>
      <w:tr>
        <w:tblPrEx>
          <w:tblBorders>
            <w:top w:val="single" w:color="auto" w:sz="12" w:space="0"/>
            <w:left w:val="none" w:color="auto" w:sz="0" w:space="0"/>
            <w:bottom w:val="single" w:color="auto" w:sz="12" w:space="0"/>
            <w:right w:val="none" w:color="auto" w:sz="0" w:space="0"/>
            <w:insideH w:val="single" w:color="auto" w:sz="6" w:space="0"/>
            <w:insideV w:val="single" w:color="auto" w:sz="12" w:space="0"/>
          </w:tblBorders>
          <w:tblLayout w:type="fixed"/>
        </w:tblPrEx>
        <w:trPr>
          <w:trHeight w:val="624" w:hRule="exact"/>
        </w:trPr>
        <w:tc>
          <w:tcPr>
            <w:tcW w:w="8751" w:type="dxa"/>
            <w:shd w:val="clear" w:color="auto" w:fill="auto"/>
            <w:vAlign w:val="center"/>
          </w:tcPr>
          <w:p>
            <w:pPr>
              <w:spacing w:line="440" w:lineRule="exact"/>
              <w:ind w:left="981" w:leftChars="67" w:hanging="840" w:hangingChars="300"/>
              <w:rPr>
                <w:rFonts w:eastAsia="仿宋_GB2312"/>
                <w:color w:val="000000"/>
                <w:sz w:val="28"/>
                <w:szCs w:val="28"/>
              </w:rPr>
            </w:pPr>
            <w:r>
              <w:rPr>
                <w:rFonts w:hint="eastAsia" w:eastAsia="仿宋_GB2312"/>
                <w:color w:val="000000"/>
                <w:sz w:val="28"/>
                <w:szCs w:val="28"/>
              </w:rPr>
              <w:t>抄送：商务部。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12" w:space="0"/>
          </w:tblBorders>
          <w:tblLayout w:type="fixed"/>
          <w:tblCellMar>
            <w:top w:w="0" w:type="dxa"/>
            <w:left w:w="108" w:type="dxa"/>
            <w:bottom w:w="0" w:type="dxa"/>
            <w:right w:w="108" w:type="dxa"/>
          </w:tblCellMar>
        </w:tblPrEx>
        <w:trPr>
          <w:trHeight w:val="624" w:hRule="exact"/>
        </w:trPr>
        <w:tc>
          <w:tcPr>
            <w:tcW w:w="8751" w:type="dxa"/>
            <w:shd w:val="clear" w:color="auto" w:fill="auto"/>
            <w:vAlign w:val="center"/>
          </w:tcPr>
          <w:p>
            <w:pPr>
              <w:spacing w:line="440" w:lineRule="exact"/>
              <w:ind w:left="981" w:leftChars="67" w:hanging="840" w:hangingChars="300"/>
              <w:rPr>
                <w:rFonts w:eastAsia="仿宋_GB2312"/>
                <w:color w:val="000000"/>
                <w:position w:val="4"/>
                <w:sz w:val="28"/>
                <w:szCs w:val="28"/>
              </w:rPr>
            </w:pPr>
            <w:r>
              <w:rPr>
                <w:rFonts w:eastAsia="仿宋_GB2312"/>
                <w:color w:val="000000"/>
                <w:position w:val="4"/>
                <w:sz w:val="28"/>
                <w:szCs w:val="28"/>
              </w:rPr>
              <w:t xml:space="preserve">浙江省商务厅办公室                    </w:t>
            </w:r>
            <w:r>
              <w:rPr>
                <w:rFonts w:hint="eastAsia" w:eastAsia="仿宋_GB2312"/>
                <w:color w:val="000000"/>
                <w:position w:val="4"/>
                <w:sz w:val="28"/>
                <w:szCs w:val="28"/>
              </w:rPr>
              <w:t xml:space="preserve"> </w:t>
            </w:r>
            <w:r>
              <w:rPr>
                <w:rFonts w:eastAsia="仿宋_GB2312"/>
                <w:color w:val="000000"/>
                <w:position w:val="4"/>
                <w:sz w:val="28"/>
                <w:szCs w:val="28"/>
              </w:rPr>
              <w:t xml:space="preserve"> </w:t>
            </w:r>
            <w:r>
              <w:rPr>
                <w:rFonts w:hint="eastAsia" w:eastAsia="仿宋_GB2312"/>
                <w:color w:val="000000"/>
                <w:position w:val="4"/>
                <w:sz w:val="28"/>
                <w:szCs w:val="28"/>
              </w:rPr>
              <w:t xml:space="preserve"> 2017年7月11日</w:t>
            </w:r>
            <w:r>
              <w:rPr>
                <w:rFonts w:eastAsia="仿宋_GB2312"/>
                <w:color w:val="000000"/>
                <w:position w:val="4"/>
                <w:sz w:val="28"/>
                <w:szCs w:val="28"/>
              </w:rPr>
              <w:t>印发</w:t>
            </w:r>
          </w:p>
        </w:tc>
      </w:tr>
    </w:tbl>
    <w:p>
      <w:pPr>
        <w:widowControl/>
        <w:spacing w:line="540" w:lineRule="exact"/>
        <w:jc w:val="left"/>
        <w:rPr>
          <w:rFonts w:hint="eastAsia" w:eastAsia="仿宋_GB2312"/>
          <w:color w:val="1F497D"/>
          <w:sz w:val="32"/>
          <w:szCs w:val="32"/>
        </w:rPr>
      </w:pPr>
    </w:p>
    <w:p>
      <w:pPr>
        <w:widowControl/>
        <w:spacing w:line="540" w:lineRule="exact"/>
        <w:jc w:val="left"/>
        <w:rPr>
          <w:rFonts w:hint="eastAsia" w:eastAsia="仿宋_GB2312"/>
          <w:color w:val="1F497D"/>
          <w:sz w:val="32"/>
          <w:szCs w:val="32"/>
        </w:rPr>
      </w:pPr>
    </w:p>
    <w:p>
      <w:pPr>
        <w:widowControl/>
        <w:spacing w:line="540" w:lineRule="exact"/>
        <w:jc w:val="left"/>
        <w:rPr>
          <w:rFonts w:hint="eastAsia" w:eastAsia="仿宋_GB2312"/>
          <w:color w:val="1F497D"/>
          <w:sz w:val="32"/>
          <w:szCs w:val="32"/>
        </w:rPr>
      </w:pPr>
    </w:p>
    <w:p>
      <w:pPr>
        <w:widowControl/>
        <w:spacing w:line="540" w:lineRule="exact"/>
        <w:jc w:val="left"/>
        <w:rPr>
          <w:rFonts w:hint="eastAsia" w:eastAsia="仿宋_GB2312"/>
          <w:color w:val="1F497D"/>
          <w:sz w:val="32"/>
          <w:szCs w:val="32"/>
        </w:rPr>
      </w:pPr>
    </w:p>
    <w:p>
      <w:pPr>
        <w:widowControl/>
        <w:spacing w:line="540" w:lineRule="exact"/>
        <w:jc w:val="left"/>
        <w:rPr>
          <w:rFonts w:hint="eastAsia" w:eastAsia="仿宋_GB2312"/>
          <w:color w:val="1F497D"/>
          <w:sz w:val="32"/>
          <w:szCs w:val="32"/>
        </w:rPr>
      </w:pPr>
    </w:p>
    <w:p>
      <w:pPr>
        <w:widowControl/>
        <w:spacing w:line="540" w:lineRule="exact"/>
        <w:jc w:val="left"/>
        <w:rPr>
          <w:rFonts w:hint="eastAsia" w:eastAsia="仿宋_GB2312"/>
          <w:color w:val="1F497D"/>
          <w:sz w:val="32"/>
          <w:szCs w:val="32"/>
        </w:rPr>
      </w:pPr>
    </w:p>
    <w:p>
      <w:pPr>
        <w:widowControl/>
        <w:spacing w:line="540" w:lineRule="exact"/>
        <w:jc w:val="left"/>
        <w:rPr>
          <w:rFonts w:hint="eastAsia" w:eastAsia="仿宋_GB2312"/>
          <w:color w:val="1F497D"/>
          <w:sz w:val="32"/>
          <w:szCs w:val="32"/>
        </w:rPr>
      </w:pPr>
    </w:p>
    <w:p>
      <w:pPr>
        <w:widowControl/>
        <w:spacing w:line="540" w:lineRule="exact"/>
        <w:jc w:val="left"/>
        <w:rPr>
          <w:rFonts w:hint="eastAsia" w:eastAsia="仿宋_GB2312"/>
          <w:color w:val="1F497D"/>
          <w:sz w:val="32"/>
          <w:szCs w:val="32"/>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Garamond">
    <w:altName w:val="Segoe Print"/>
    <w:panose1 w:val="02020404030301010803"/>
    <w:charset w:val="00"/>
    <w:family w:val="roman"/>
    <w:pitch w:val="default"/>
    <w:sig w:usb0="00000000" w:usb1="00000000" w:usb2="00000000" w:usb3="00000000" w:csb0="0000009F" w:csb1="00000000"/>
  </w:font>
  <w:font w:name="隶书">
    <w:altName w:val="微软雅黑"/>
    <w:panose1 w:val="0201050906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
    <w:altName w:val="Calibri"/>
    <w:panose1 w:val="00000000000000000000"/>
    <w:charset w:val="00"/>
    <w:family w:val="auto"/>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A7A1D"/>
    <w:multiLevelType w:val="singleLevel"/>
    <w:tmpl w:val="5A0A7A1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80C46"/>
    <w:rsid w:val="418A1908"/>
    <w:rsid w:val="425C1C60"/>
    <w:rsid w:val="6AD80C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800080"/>
      <w:u w:val="single"/>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2017-11-14T05:04:00Z</dcterms:created>
  <dc:creator>apple</dc:creator>
  <cp:lastModifiedBy>apple</cp:lastModifiedBy>
  <dcterms:modified xsi:type="dcterms:W3CDTF">2017-11-15T05:38:27Z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