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hint="eastAsia" w:ascii="方正小标宋简体" w:hAnsi="Times New Roman" w:eastAsia="方正小标宋简体" w:cs="方正仿宋_GBK"/>
          <w:sz w:val="44"/>
          <w:szCs w:val="44"/>
        </w:rPr>
      </w:pPr>
      <w:r>
        <w:rPr>
          <w:rFonts w:hint="eastAsia" w:ascii="方正小标宋简体" w:hAnsi="Times New Roman" w:eastAsia="方正小标宋简体" w:cs="方正仿宋_GBK"/>
          <w:sz w:val="44"/>
          <w:szCs w:val="44"/>
          <w:lang w:eastAsia="zh-CN"/>
        </w:rPr>
        <w:t>普陀区教育局</w:t>
      </w:r>
      <w:r>
        <w:rPr>
          <w:rFonts w:hint="eastAsia" w:ascii="方正小标宋简体" w:hAnsi="Times New Roman" w:eastAsia="方正小标宋简体" w:cs="方正仿宋_GBK"/>
          <w:sz w:val="44"/>
          <w:szCs w:val="44"/>
        </w:rPr>
        <w:t>2021年政府信息公开工作年度报告</w:t>
      </w:r>
    </w:p>
    <w:p>
      <w:pPr>
        <w:snapToGrid w:val="0"/>
        <w:spacing w:line="500" w:lineRule="exact"/>
        <w:ind w:firstLine="960" w:firstLineChars="300"/>
        <w:rPr>
          <w:rFonts w:ascii="Times New Roman" w:hAnsi="Times New Roman" w:eastAsia="仿宋_GB2312" w:cs="方正仿宋_GBK"/>
          <w:sz w:val="32"/>
          <w:szCs w:val="32"/>
        </w:rPr>
      </w:pPr>
    </w:p>
    <w:p>
      <w:pPr>
        <w:pStyle w:val="6"/>
        <w:widowControl/>
        <w:shd w:val="clear" w:color="auto" w:fill="FFFFFF"/>
        <w:spacing w:beforeAutospacing="0" w:afterAutospacing="0" w:line="360" w:lineRule="auto"/>
        <w:ind w:firstLine="640" w:firstLineChars="200"/>
        <w:textAlignment w:val="top"/>
        <w:rPr>
          <w:rFonts w:ascii="黑体" w:hAnsi="黑体" w:eastAsia="黑体" w:cs="Arial"/>
          <w:b/>
          <w:color w:val="000000"/>
          <w:sz w:val="32"/>
          <w:szCs w:val="32"/>
        </w:rPr>
      </w:pPr>
      <w:r>
        <w:rPr>
          <w:rStyle w:val="9"/>
          <w:rFonts w:ascii="黑体" w:hAnsi="黑体" w:eastAsia="黑体" w:cs="Arial"/>
          <w:b w:val="0"/>
          <w:color w:val="000000"/>
          <w:sz w:val="32"/>
          <w:szCs w:val="32"/>
          <w:shd w:val="clear" w:color="auto" w:fill="FFFFFF"/>
        </w:rPr>
        <w:t>一、总体情况</w:t>
      </w:r>
    </w:p>
    <w:p>
      <w:pPr>
        <w:pStyle w:val="6"/>
        <w:widowControl/>
        <w:shd w:val="clear" w:color="auto" w:fill="FFFFFF"/>
        <w:spacing w:beforeAutospacing="0" w:afterAutospacing="0" w:line="360" w:lineRule="auto"/>
        <w:ind w:firstLine="640" w:firstLineChars="200"/>
        <w:textAlignment w:val="top"/>
        <w:rPr>
          <w:rFonts w:hint="eastAsia" w:ascii="仿宋_GB2312" w:hAnsi="Arial" w:eastAsia="仿宋_GB2312" w:cs="Arial"/>
          <w:color w:val="000000"/>
          <w:sz w:val="32"/>
          <w:szCs w:val="32"/>
          <w:shd w:val="clear" w:color="auto" w:fill="FFFFFF"/>
        </w:rPr>
      </w:pPr>
      <w:r>
        <w:rPr>
          <w:rFonts w:hint="eastAsia" w:ascii="仿宋_GB2312" w:hAnsi="Arial" w:eastAsia="仿宋_GB2312" w:cs="Arial"/>
          <w:color w:val="000000"/>
          <w:sz w:val="32"/>
          <w:szCs w:val="32"/>
          <w:shd w:val="clear" w:color="auto" w:fill="FFFFFF"/>
          <w:lang w:val="en-US" w:eastAsia="zh-CN"/>
        </w:rPr>
        <w:t>2021年，普陀区教育局</w:t>
      </w:r>
      <w:r>
        <w:rPr>
          <w:rFonts w:hint="eastAsia" w:ascii="仿宋_GB2312" w:hAnsi="Arial" w:eastAsia="仿宋_GB2312" w:cs="Arial"/>
          <w:color w:val="000000"/>
          <w:sz w:val="32"/>
          <w:szCs w:val="32"/>
          <w:shd w:val="clear" w:color="auto" w:fill="FFFFFF"/>
        </w:rPr>
        <w:t>贯彻落实《中华人民共和国政府信息公开条例》，根据区政府信息公开工作统一部署，进一步规范各信息公开平台政务公开内容，加大公开力度，提升公开质量，确保教育系统信息公开工作有序开展。</w:t>
      </w:r>
    </w:p>
    <w:p>
      <w:pPr>
        <w:pStyle w:val="6"/>
        <w:widowControl/>
        <w:shd w:val="clear" w:color="auto" w:fill="FFFFFF"/>
        <w:spacing w:beforeAutospacing="0" w:afterAutospacing="0" w:line="360" w:lineRule="auto"/>
        <w:ind w:firstLine="640" w:firstLineChars="200"/>
        <w:textAlignment w:val="top"/>
        <w:rPr>
          <w:rFonts w:hint="default" w:ascii="仿宋_GB2312" w:hAnsi="Arial" w:eastAsia="仿宋_GB2312" w:cs="Arial"/>
          <w:color w:val="000000"/>
          <w:sz w:val="32"/>
          <w:szCs w:val="32"/>
          <w:shd w:val="clear" w:color="auto" w:fill="FFFFFF"/>
          <w:lang w:val="en-US" w:eastAsia="zh-CN"/>
        </w:rPr>
      </w:pPr>
      <w:r>
        <w:rPr>
          <w:rFonts w:hint="eastAsia" w:ascii="仿宋_GB2312" w:hAnsi="Arial" w:eastAsia="仿宋_GB2312" w:cs="Arial"/>
          <w:color w:val="000000"/>
          <w:sz w:val="32"/>
          <w:szCs w:val="32"/>
          <w:shd w:val="clear" w:color="auto" w:fill="FFFFFF"/>
        </w:rPr>
        <w:t>我局政府信息公开内容涵盖教育类主动公开范围的各类政府信息，除涉密内容，全部予以公开。规范设置了公示公告、政策文件、工作动态、重点事项等栏目，做好财政预决算、教育医疗、社会救助与福利等内容，确保教育领域信息公开。定期上报各类法规、条例等。</w:t>
      </w:r>
      <w:r>
        <w:rPr>
          <w:rFonts w:hint="eastAsia" w:ascii="仿宋_GB2312" w:hAnsi="Arial" w:eastAsia="仿宋_GB2312" w:cs="Arial"/>
          <w:color w:val="000000"/>
          <w:sz w:val="32"/>
          <w:szCs w:val="32"/>
          <w:shd w:val="clear" w:color="auto" w:fill="FFFFFF"/>
          <w:lang w:val="en-US" w:eastAsia="zh-CN"/>
        </w:rPr>
        <w:t>2021年，我局</w:t>
      </w:r>
      <w:r>
        <w:rPr>
          <w:rFonts w:hint="eastAsia" w:ascii="仿宋_GB2312" w:hAnsi="Arial" w:eastAsia="仿宋_GB2312" w:cs="Arial"/>
          <w:color w:val="000000"/>
          <w:sz w:val="32"/>
          <w:szCs w:val="32"/>
          <w:shd w:val="clear" w:color="auto" w:fill="FFFFFF"/>
        </w:rPr>
        <w:t>政府信息</w:t>
      </w:r>
      <w:r>
        <w:rPr>
          <w:rFonts w:hint="eastAsia" w:ascii="仿宋_GB2312" w:hAnsi="Arial" w:eastAsia="仿宋_GB2312" w:cs="Arial"/>
          <w:color w:val="000000"/>
          <w:sz w:val="32"/>
          <w:szCs w:val="32"/>
          <w:shd w:val="clear" w:color="auto" w:fill="FFFFFF"/>
          <w:lang w:eastAsia="zh-CN"/>
        </w:rPr>
        <w:t>公开平台发布信息</w:t>
      </w:r>
      <w:r>
        <w:rPr>
          <w:rFonts w:hint="eastAsia" w:ascii="仿宋_GB2312" w:hAnsi="Arial" w:eastAsia="仿宋_GB2312" w:cs="Arial"/>
          <w:color w:val="000000"/>
          <w:sz w:val="32"/>
          <w:szCs w:val="32"/>
          <w:shd w:val="clear" w:color="auto" w:fill="FFFFFF"/>
          <w:lang w:val="en-US" w:eastAsia="zh-CN"/>
        </w:rPr>
        <w:t>626条，微信184条，微博133条，</w:t>
      </w:r>
      <w:r>
        <w:rPr>
          <w:rFonts w:hint="eastAsia" w:ascii="仿宋_GB2312" w:eastAsia="仿宋_GB2312"/>
          <w:color w:val="auto"/>
          <w:sz w:val="32"/>
          <w:szCs w:val="32"/>
        </w:rPr>
        <w:t>另外通过媒体及其他方式公开政府信息</w:t>
      </w:r>
      <w:r>
        <w:rPr>
          <w:rFonts w:hint="eastAsia" w:ascii="仿宋_GB2312" w:eastAsia="仿宋_GB2312"/>
          <w:color w:val="auto"/>
          <w:sz w:val="32"/>
          <w:szCs w:val="32"/>
          <w:lang w:val="en-US" w:eastAsia="zh-CN"/>
        </w:rPr>
        <w:t>700余条。</w:t>
      </w:r>
    </w:p>
    <w:p>
      <w:pPr>
        <w:pStyle w:val="6"/>
        <w:widowControl/>
        <w:shd w:val="clear" w:color="auto" w:fill="FFFFFF"/>
        <w:spacing w:beforeAutospacing="0" w:afterAutospacing="0" w:line="360" w:lineRule="auto"/>
        <w:ind w:firstLine="640" w:firstLineChars="200"/>
        <w:textAlignment w:val="top"/>
        <w:rPr>
          <w:rFonts w:hint="eastAsia" w:ascii="仿宋_GB2312" w:hAnsi="Arial" w:eastAsia="仿宋_GB2312" w:cs="Arial"/>
          <w:color w:val="000000"/>
          <w:sz w:val="32"/>
          <w:szCs w:val="32"/>
          <w:shd w:val="clear" w:color="auto" w:fill="FFFFFF"/>
        </w:rPr>
      </w:pPr>
      <w:r>
        <w:rPr>
          <w:rFonts w:hint="eastAsia" w:ascii="仿宋_GB2312" w:hAnsi="Arial" w:eastAsia="仿宋_GB2312" w:cs="Arial"/>
          <w:color w:val="000000"/>
          <w:sz w:val="32"/>
          <w:szCs w:val="32"/>
          <w:shd w:val="clear" w:color="auto" w:fill="FFFFFF"/>
        </w:rPr>
        <w:t>在做好全局信息公开同时，要求各校加强培训指导，规范运营学校微信公众号，进一步强化信息公开查阅点、公示栏、展板宣传栏等板块的宣传职能，公开政策法规、办事程序、办理事项，接受社会监督。</w:t>
      </w:r>
    </w:p>
    <w:p>
      <w:pPr>
        <w:adjustRightInd w:val="0"/>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lang w:eastAsia="zh-CN"/>
        </w:rPr>
        <w:t>通</w:t>
      </w:r>
      <w:r>
        <w:rPr>
          <w:rFonts w:hint="eastAsia" w:ascii="仿宋_GB2312" w:eastAsia="仿宋_GB2312"/>
          <w:sz w:val="32"/>
          <w:szCs w:val="32"/>
        </w:rPr>
        <w:t>过门户网站、政务微博（微信）、新闻媒体等形式公开阳光招生、人事招聘、工程建设等公众关注的政府信息工作。</w:t>
      </w:r>
      <w:r>
        <w:rPr>
          <w:rFonts w:hint="eastAsia" w:ascii="仿宋_GB2312" w:eastAsia="仿宋_GB2312"/>
          <w:sz w:val="32"/>
          <w:szCs w:val="32"/>
          <w:lang w:eastAsia="zh-CN"/>
        </w:rPr>
        <w:t>严格按照信息报送目录，做好新调整的财政预决算、教育医疗、社会救助与福利栏目的信息公开工作。</w:t>
      </w:r>
      <w:r>
        <w:rPr>
          <w:rFonts w:hint="eastAsia" w:ascii="仿宋_GB2312" w:eastAsia="仿宋_GB2312"/>
          <w:sz w:val="32"/>
          <w:szCs w:val="32"/>
        </w:rPr>
        <w:t>围绕新区建设中心工作和国家教育改革新政策，做好教育教学工作、改善教育民生、饮食工程、重大建设工程、先进人物和典型事迹等重点工作宣传力度。</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年，我局</w:t>
      </w:r>
      <w:r>
        <w:rPr>
          <w:rFonts w:hint="eastAsia" w:ascii="仿宋_GB2312" w:eastAsia="仿宋_GB2312"/>
          <w:sz w:val="32"/>
          <w:szCs w:val="32"/>
          <w:lang w:eastAsia="zh-CN"/>
        </w:rPr>
        <w:t>进一步做好政务公开和民生实事的结合，做好教育领域的信息公开工作。</w:t>
      </w:r>
      <w:r>
        <w:rPr>
          <w:rFonts w:hint="eastAsia" w:ascii="仿宋_GB2312" w:eastAsia="仿宋_GB2312"/>
          <w:sz w:val="32"/>
          <w:szCs w:val="32"/>
        </w:rPr>
        <w:t>7月13日，舟山市普陀区教育局参加由省政府办公厅、省委宣传部、省委网信办联合主办的“政务公开在行动——民生政策进万家”系列网络宣传活动，重点宣传“浙里办”APP网上招生报名方式、“银龄跨越数字鸿沟”智能技术日常应用培训等教育数字化改革热点问题，通过H5页面现场设置问答环节、发放小纪念品等方式，鼓励群众积极拥抱数字化改革浪潮。</w:t>
      </w:r>
      <w:r>
        <w:rPr>
          <w:rFonts w:hint="eastAsia" w:ascii="仿宋_GB2312" w:eastAsia="仿宋_GB2312"/>
          <w:sz w:val="32"/>
          <w:szCs w:val="32"/>
          <w:lang w:eastAsia="zh-CN"/>
        </w:rPr>
        <w:t>通过</w:t>
      </w:r>
      <w:r>
        <w:rPr>
          <w:rFonts w:hint="eastAsia" w:ascii="仿宋_GB2312" w:eastAsia="仿宋_GB2312"/>
          <w:sz w:val="32"/>
          <w:szCs w:val="32"/>
        </w:rPr>
        <w:t>热线直播、政府公开信息平台、微博、微信公众号等</w:t>
      </w:r>
      <w:r>
        <w:rPr>
          <w:rFonts w:hint="eastAsia" w:ascii="仿宋_GB2312" w:eastAsia="仿宋_GB2312"/>
          <w:sz w:val="32"/>
          <w:szCs w:val="32"/>
          <w:lang w:eastAsia="zh-CN"/>
        </w:rPr>
        <w:t>途径，结合学校各信息公开手段，围绕学前教育、义务教育，及时公开义务教育招生方案、招生范围、招生程序、报名条件、学校情况、录取结果、咨询方式等信息，圆满完成城区学校网上招生宣传工作</w:t>
      </w:r>
      <w:r>
        <w:rPr>
          <w:rFonts w:hint="eastAsia" w:ascii="仿宋_GB2312" w:eastAsia="仿宋_GB2312"/>
          <w:sz w:val="32"/>
          <w:szCs w:val="32"/>
        </w:rPr>
        <w:t>；认真、规范做好各级各类信访件的回复和处理工作，未发生因信息公开而提出的行政诉讼和行政复议案件。认真贯彻落实省、市、区“最多跑一次”改革工作部署，利用浙江政务网、浙里办APP、浙江教育政务服务网、“机关内部最多跑一次”“民办学校审批”等平台，全面推进我区教育治理数字化转型工作。完善“入学一件事”网上报名，全面实行义务教育学校公办、民办同步招生政策，今年秋季学期开始我区中小学、幼儿园招生实行全域网上报名，新生网上报名人数达到6361人，占全体报名人数的84.5%，其中义务教育阶段新生网上报名人数4934人，占义务教育阶段新生报名人数的96.3%。</w:t>
      </w:r>
    </w:p>
    <w:p>
      <w:pPr>
        <w:adjustRightInd w:val="0"/>
        <w:snapToGrid w:val="0"/>
        <w:spacing w:line="360" w:lineRule="auto"/>
        <w:ind w:firstLine="640" w:firstLineChars="200"/>
        <w:rPr>
          <w:rFonts w:hint="eastAsia" w:ascii="仿宋_GB2312" w:hAnsi="Arial" w:eastAsia="仿宋_GB2312" w:cs="Arial"/>
          <w:color w:val="000000"/>
          <w:sz w:val="32"/>
          <w:szCs w:val="32"/>
          <w:shd w:val="clear" w:color="auto" w:fill="FFFFFF"/>
          <w:lang w:val="en-US" w:eastAsia="zh-CN"/>
        </w:rPr>
      </w:pPr>
      <w:r>
        <w:rPr>
          <w:rFonts w:hint="eastAsia" w:ascii="仿宋_GB2312" w:eastAsia="仿宋_GB2312"/>
          <w:sz w:val="32"/>
          <w:szCs w:val="32"/>
          <w:lang w:eastAsia="zh-CN"/>
        </w:rPr>
        <w:t>强化监督保障工作。</w:t>
      </w:r>
      <w:bookmarkStart w:id="0" w:name="_GoBack"/>
      <w:bookmarkEnd w:id="0"/>
      <w:r>
        <w:rPr>
          <w:rFonts w:hint="eastAsia" w:ascii="仿宋_GB2312" w:eastAsia="仿宋_GB2312"/>
          <w:sz w:val="32"/>
          <w:szCs w:val="32"/>
        </w:rPr>
        <w:t>为便于公众对属于教育局依申请公开范围的政府信息的申请，</w:t>
      </w:r>
      <w:r>
        <w:rPr>
          <w:rFonts w:hint="eastAsia" w:ascii="仿宋_GB2312" w:eastAsia="仿宋_GB2312"/>
          <w:sz w:val="32"/>
          <w:szCs w:val="32"/>
          <w:lang w:eastAsia="zh-CN"/>
        </w:rPr>
        <w:t>我</w:t>
      </w:r>
      <w:r>
        <w:rPr>
          <w:rFonts w:hint="eastAsia" w:ascii="仿宋_GB2312" w:eastAsia="仿宋_GB2312"/>
          <w:sz w:val="32"/>
          <w:szCs w:val="32"/>
        </w:rPr>
        <w:t>局编制了依申请公开政府信息目录，</w:t>
      </w:r>
      <w:r>
        <w:rPr>
          <w:rFonts w:hint="eastAsia" w:ascii="仿宋_GB2312" w:eastAsia="仿宋_GB2312"/>
          <w:sz w:val="32"/>
          <w:szCs w:val="32"/>
          <w:lang w:eastAsia="zh-CN"/>
        </w:rPr>
        <w:t>全面统筹本单位政府信息公开工作，</w:t>
      </w:r>
      <w:r>
        <w:rPr>
          <w:rFonts w:hint="eastAsia" w:ascii="仿宋_GB2312" w:eastAsia="仿宋_GB2312"/>
          <w:sz w:val="32"/>
          <w:szCs w:val="32"/>
        </w:rPr>
        <w:t>具体明确了依申请公开政府信息的受理申请机构、流程、服务方式和内容，明确操作要求和办结时限。</w:t>
      </w:r>
      <w:r>
        <w:rPr>
          <w:rFonts w:hint="eastAsia" w:ascii="仿宋_GB2312" w:eastAsia="仿宋_GB2312"/>
          <w:sz w:val="32"/>
          <w:szCs w:val="32"/>
          <w:lang w:eastAsia="zh-CN"/>
        </w:rPr>
        <w:t>同时，我局指定专人负责全局政府信息公开工作的集中推进和日常管理工作。</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年我局无政府信息公开申请件。</w:t>
      </w:r>
    </w:p>
    <w:p>
      <w:pPr>
        <w:spacing w:line="500" w:lineRule="exact"/>
        <w:ind w:firstLine="640" w:firstLineChars="200"/>
        <w:jc w:val="left"/>
        <w:rPr>
          <w:rStyle w:val="9"/>
          <w:rFonts w:ascii="黑体" w:hAnsi="黑体" w:eastAsia="黑体" w:cs="Arial"/>
          <w:b w:val="0"/>
          <w:color w:val="000000"/>
          <w:sz w:val="32"/>
          <w:szCs w:val="32"/>
          <w:shd w:val="clear" w:color="auto" w:fill="FFFFFF"/>
        </w:rPr>
      </w:pPr>
      <w:r>
        <w:rPr>
          <w:rStyle w:val="9"/>
          <w:rFonts w:ascii="黑体" w:hAnsi="黑体" w:eastAsia="黑体" w:cs="Arial"/>
          <w:b w:val="0"/>
          <w:color w:val="000000"/>
          <w:sz w:val="32"/>
          <w:szCs w:val="32"/>
          <w:shd w:val="clear" w:color="auto" w:fill="FFFFFF"/>
        </w:rPr>
        <w:t>二、主动公开政府信息情况</w:t>
      </w:r>
    </w:p>
    <w:tbl>
      <w:tblPr>
        <w:tblStyle w:val="7"/>
        <w:tblW w:w="9189" w:type="dxa"/>
        <w:jc w:val="center"/>
        <w:tblInd w:w="359" w:type="dxa"/>
        <w:tblLayout w:type="fixed"/>
        <w:tblCellMar>
          <w:top w:w="0" w:type="dxa"/>
          <w:left w:w="0" w:type="dxa"/>
          <w:bottom w:w="0" w:type="dxa"/>
          <w:right w:w="0" w:type="dxa"/>
        </w:tblCellMar>
      </w:tblPr>
      <w:tblGrid>
        <w:gridCol w:w="2474"/>
        <w:gridCol w:w="2275"/>
        <w:gridCol w:w="2177"/>
        <w:gridCol w:w="2263"/>
      </w:tblGrid>
      <w:tr>
        <w:tblPrEx>
          <w:tblLayout w:type="fixed"/>
          <w:tblCellMar>
            <w:top w:w="0" w:type="dxa"/>
            <w:left w:w="0" w:type="dxa"/>
            <w:bottom w:w="0" w:type="dxa"/>
            <w:right w:w="0" w:type="dxa"/>
          </w:tblCellMar>
        </w:tblPrEx>
        <w:trPr>
          <w:trHeight w:val="474" w:hRule="exact"/>
          <w:jc w:val="center"/>
        </w:trPr>
        <w:tc>
          <w:tcPr>
            <w:tcW w:w="9189"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bottom"/>
          </w:tcPr>
          <w:p>
            <w:pPr>
              <w:widowControl/>
              <w:spacing w:line="320" w:lineRule="exact"/>
              <w:jc w:val="center"/>
              <w:rPr>
                <w:rFonts w:ascii="宋体" w:hAnsi="宋体" w:cs="宋体"/>
                <w:bCs/>
                <w:sz w:val="24"/>
                <w:szCs w:val="24"/>
              </w:rPr>
            </w:pPr>
            <w:r>
              <w:rPr>
                <w:rFonts w:hint="eastAsia" w:ascii="宋体" w:hAnsi="宋体" w:cs="宋体"/>
                <w:bCs/>
                <w:kern w:val="0"/>
                <w:sz w:val="24"/>
                <w:szCs w:val="24"/>
              </w:rPr>
              <w:t>第二十条第（一）项</w:t>
            </w:r>
          </w:p>
        </w:tc>
      </w:tr>
      <w:tr>
        <w:tblPrEx>
          <w:tblLayout w:type="fixed"/>
          <w:tblCellMar>
            <w:top w:w="0" w:type="dxa"/>
            <w:left w:w="0" w:type="dxa"/>
            <w:bottom w:w="0" w:type="dxa"/>
            <w:right w:w="0" w:type="dxa"/>
          </w:tblCellMar>
        </w:tblPrEx>
        <w:trPr>
          <w:trHeight w:val="485"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信息内容</w:t>
            </w:r>
          </w:p>
        </w:tc>
        <w:tc>
          <w:tcPr>
            <w:tcW w:w="22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本年制发件数</w:t>
            </w:r>
          </w:p>
        </w:tc>
        <w:tc>
          <w:tcPr>
            <w:tcW w:w="21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spacing w:val="-20"/>
                <w:kern w:val="0"/>
                <w:sz w:val="24"/>
                <w:szCs w:val="24"/>
              </w:rPr>
              <w:t>本年废止件数</w:t>
            </w:r>
          </w:p>
        </w:tc>
        <w:tc>
          <w:tcPr>
            <w:tcW w:w="2263"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现行有效件数</w:t>
            </w:r>
          </w:p>
        </w:tc>
      </w:tr>
      <w:tr>
        <w:tblPrEx>
          <w:tblLayout w:type="fixed"/>
          <w:tblCellMar>
            <w:top w:w="0" w:type="dxa"/>
            <w:left w:w="0" w:type="dxa"/>
            <w:bottom w:w="0" w:type="dxa"/>
            <w:right w:w="0" w:type="dxa"/>
          </w:tblCellMar>
        </w:tblPrEx>
        <w:trPr>
          <w:trHeight w:val="485"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left"/>
              <w:rPr>
                <w:rFonts w:ascii="宋体" w:hAnsi="宋体" w:cs="宋体"/>
                <w:bCs/>
                <w:kern w:val="0"/>
                <w:sz w:val="24"/>
                <w:szCs w:val="24"/>
              </w:rPr>
            </w:pPr>
            <w:r>
              <w:rPr>
                <w:rFonts w:hint="eastAsia" w:ascii="宋体" w:hAnsi="宋体" w:cs="宋体"/>
                <w:bCs/>
                <w:kern w:val="0"/>
                <w:sz w:val="24"/>
                <w:szCs w:val="24"/>
              </w:rPr>
              <w:t>规章</w:t>
            </w:r>
          </w:p>
        </w:tc>
        <w:tc>
          <w:tcPr>
            <w:tcW w:w="22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0</w:t>
            </w:r>
          </w:p>
        </w:tc>
        <w:tc>
          <w:tcPr>
            <w:tcW w:w="21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pacing w:val="-20"/>
                <w:kern w:val="0"/>
                <w:sz w:val="24"/>
                <w:szCs w:val="24"/>
              </w:rPr>
            </w:pPr>
            <w:r>
              <w:rPr>
                <w:rFonts w:hint="eastAsia" w:ascii="宋体" w:hAnsi="宋体" w:cs="宋体"/>
                <w:bCs/>
                <w:spacing w:val="-20"/>
                <w:kern w:val="0"/>
                <w:sz w:val="24"/>
                <w:szCs w:val="24"/>
              </w:rPr>
              <w:t>0</w:t>
            </w:r>
          </w:p>
        </w:tc>
        <w:tc>
          <w:tcPr>
            <w:tcW w:w="2263"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0</w:t>
            </w:r>
          </w:p>
        </w:tc>
      </w:tr>
      <w:tr>
        <w:tblPrEx>
          <w:tblLayout w:type="fixed"/>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left"/>
              <w:rPr>
                <w:rFonts w:ascii="宋体" w:hAnsi="宋体" w:cs="宋体"/>
                <w:bCs/>
                <w:sz w:val="24"/>
                <w:szCs w:val="24"/>
              </w:rPr>
            </w:pPr>
            <w:r>
              <w:rPr>
                <w:rFonts w:hint="eastAsia" w:ascii="宋体" w:hAnsi="宋体" w:cs="宋体"/>
                <w:bCs/>
                <w:sz w:val="24"/>
                <w:szCs w:val="24"/>
              </w:rPr>
              <w:t>行政规范性文件</w:t>
            </w:r>
          </w:p>
        </w:tc>
        <w:tc>
          <w:tcPr>
            <w:tcW w:w="22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1</w:t>
            </w:r>
          </w:p>
        </w:tc>
        <w:tc>
          <w:tcPr>
            <w:tcW w:w="21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2</w:t>
            </w:r>
          </w:p>
        </w:tc>
        <w:tc>
          <w:tcPr>
            <w:tcW w:w="2263"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9</w:t>
            </w:r>
          </w:p>
        </w:tc>
      </w:tr>
      <w:tr>
        <w:tblPrEx>
          <w:tblLayout w:type="fixed"/>
          <w:tblCellMar>
            <w:top w:w="0" w:type="dxa"/>
            <w:left w:w="0" w:type="dxa"/>
            <w:bottom w:w="0" w:type="dxa"/>
            <w:right w:w="0" w:type="dxa"/>
          </w:tblCellMar>
        </w:tblPrEx>
        <w:trPr>
          <w:trHeight w:val="474" w:hRule="exact"/>
          <w:jc w:val="center"/>
        </w:trPr>
        <w:tc>
          <w:tcPr>
            <w:tcW w:w="9189"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第二十条第（五）项</w:t>
            </w:r>
          </w:p>
        </w:tc>
      </w:tr>
      <w:tr>
        <w:tblPrEx>
          <w:tblLayout w:type="fixed"/>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信息内容</w:t>
            </w:r>
          </w:p>
        </w:tc>
        <w:tc>
          <w:tcPr>
            <w:tcW w:w="6715"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本年处理决定数量</w:t>
            </w:r>
          </w:p>
        </w:tc>
      </w:tr>
      <w:tr>
        <w:tblPrEx>
          <w:tblLayout w:type="fixed"/>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left"/>
              <w:rPr>
                <w:rFonts w:ascii="宋体" w:hAnsi="宋体" w:cs="宋体"/>
                <w:bCs/>
                <w:sz w:val="24"/>
                <w:szCs w:val="24"/>
              </w:rPr>
            </w:pPr>
            <w:r>
              <w:rPr>
                <w:rFonts w:hint="eastAsia" w:ascii="宋体" w:hAnsi="宋体" w:cs="宋体"/>
                <w:bCs/>
                <w:kern w:val="0"/>
                <w:sz w:val="24"/>
                <w:szCs w:val="24"/>
              </w:rPr>
              <w:t>行政许可</w:t>
            </w:r>
          </w:p>
        </w:tc>
        <w:tc>
          <w:tcPr>
            <w:tcW w:w="6715"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160</w:t>
            </w:r>
          </w:p>
        </w:tc>
      </w:tr>
      <w:tr>
        <w:tblPrEx>
          <w:tblLayout w:type="fixed"/>
          <w:tblCellMar>
            <w:top w:w="0" w:type="dxa"/>
            <w:left w:w="0" w:type="dxa"/>
            <w:bottom w:w="0" w:type="dxa"/>
            <w:right w:w="0" w:type="dxa"/>
          </w:tblCellMar>
        </w:tblPrEx>
        <w:trPr>
          <w:trHeight w:val="474" w:hRule="exact"/>
          <w:jc w:val="center"/>
        </w:trPr>
        <w:tc>
          <w:tcPr>
            <w:tcW w:w="9189"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第二十条第（六）项</w:t>
            </w:r>
          </w:p>
        </w:tc>
      </w:tr>
      <w:tr>
        <w:tblPrEx>
          <w:tblLayout w:type="fixed"/>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信息内容</w:t>
            </w:r>
          </w:p>
        </w:tc>
        <w:tc>
          <w:tcPr>
            <w:tcW w:w="6715"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本年处理决定数量</w:t>
            </w:r>
          </w:p>
        </w:tc>
      </w:tr>
      <w:tr>
        <w:tblPrEx>
          <w:tblLayout w:type="fixed"/>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left"/>
              <w:rPr>
                <w:rFonts w:ascii="宋体" w:hAnsi="宋体" w:cs="宋体"/>
                <w:bCs/>
                <w:sz w:val="24"/>
                <w:szCs w:val="24"/>
              </w:rPr>
            </w:pPr>
            <w:r>
              <w:rPr>
                <w:rFonts w:hint="eastAsia" w:ascii="宋体" w:hAnsi="宋体" w:cs="宋体"/>
                <w:bCs/>
                <w:kern w:val="0"/>
                <w:sz w:val="24"/>
                <w:szCs w:val="24"/>
              </w:rPr>
              <w:t>行政处罚</w:t>
            </w:r>
          </w:p>
        </w:tc>
        <w:tc>
          <w:tcPr>
            <w:tcW w:w="6715"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0</w:t>
            </w:r>
          </w:p>
        </w:tc>
      </w:tr>
      <w:tr>
        <w:tblPrEx>
          <w:tblLayout w:type="fixed"/>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left"/>
              <w:rPr>
                <w:rFonts w:ascii="宋体" w:hAnsi="宋体" w:cs="宋体"/>
                <w:bCs/>
                <w:sz w:val="24"/>
                <w:szCs w:val="24"/>
              </w:rPr>
            </w:pPr>
            <w:r>
              <w:rPr>
                <w:rFonts w:hint="eastAsia" w:ascii="宋体" w:hAnsi="宋体" w:cs="宋体"/>
                <w:bCs/>
                <w:kern w:val="0"/>
                <w:sz w:val="24"/>
                <w:szCs w:val="24"/>
              </w:rPr>
              <w:t>行政强制</w:t>
            </w:r>
          </w:p>
        </w:tc>
        <w:tc>
          <w:tcPr>
            <w:tcW w:w="6715"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0</w:t>
            </w:r>
          </w:p>
        </w:tc>
      </w:tr>
      <w:tr>
        <w:tblPrEx>
          <w:tblLayout w:type="fixed"/>
          <w:tblCellMar>
            <w:top w:w="0" w:type="dxa"/>
            <w:left w:w="0" w:type="dxa"/>
            <w:bottom w:w="0" w:type="dxa"/>
            <w:right w:w="0" w:type="dxa"/>
          </w:tblCellMar>
        </w:tblPrEx>
        <w:trPr>
          <w:trHeight w:val="474" w:hRule="exact"/>
          <w:jc w:val="center"/>
        </w:trPr>
        <w:tc>
          <w:tcPr>
            <w:tcW w:w="9189"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第二十条第（八）项</w:t>
            </w:r>
          </w:p>
        </w:tc>
      </w:tr>
      <w:tr>
        <w:tblPrEx>
          <w:tblLayout w:type="fixed"/>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信息内容</w:t>
            </w:r>
          </w:p>
        </w:tc>
        <w:tc>
          <w:tcPr>
            <w:tcW w:w="6715" w:type="dxa"/>
            <w:gridSpan w:val="3"/>
            <w:tcBorders>
              <w:top w:val="nil"/>
              <w:left w:val="nil"/>
              <w:bottom w:val="single" w:color="auto" w:sz="8" w:space="0"/>
              <w:right w:val="single" w:color="000000"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sz w:val="24"/>
                <w:szCs w:val="24"/>
              </w:rPr>
              <w:t>本年收费金额（单位：万元）</w:t>
            </w:r>
          </w:p>
        </w:tc>
      </w:tr>
      <w:tr>
        <w:tblPrEx>
          <w:tblLayout w:type="fixed"/>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left"/>
              <w:rPr>
                <w:rFonts w:ascii="宋体" w:hAnsi="宋体" w:cs="宋体"/>
                <w:bCs/>
                <w:sz w:val="24"/>
                <w:szCs w:val="24"/>
              </w:rPr>
            </w:pPr>
            <w:r>
              <w:rPr>
                <w:rFonts w:hint="eastAsia" w:ascii="宋体" w:hAnsi="宋体" w:cs="宋体"/>
                <w:bCs/>
                <w:kern w:val="0"/>
                <w:sz w:val="24"/>
                <w:szCs w:val="24"/>
              </w:rPr>
              <w:t>行政事业性收费</w:t>
            </w:r>
          </w:p>
        </w:tc>
        <w:tc>
          <w:tcPr>
            <w:tcW w:w="6715" w:type="dxa"/>
            <w:gridSpan w:val="3"/>
            <w:tcBorders>
              <w:top w:val="nil"/>
              <w:left w:val="nil"/>
              <w:bottom w:val="single" w:color="auto" w:sz="8" w:space="0"/>
              <w:right w:val="single" w:color="000000" w:sz="8" w:space="0"/>
            </w:tcBorders>
            <w:shd w:val="clear" w:color="auto" w:fill="auto"/>
            <w:noWrap/>
            <w:tcMar>
              <w:left w:w="108" w:type="dxa"/>
              <w:right w:w="108" w:type="dxa"/>
            </w:tcMar>
            <w:vAlign w:val="center"/>
          </w:tcPr>
          <w:p>
            <w:pPr>
              <w:widowControl/>
              <w:spacing w:line="320" w:lineRule="exact"/>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1.872</w:t>
            </w:r>
          </w:p>
        </w:tc>
      </w:tr>
    </w:tbl>
    <w:p>
      <w:pPr>
        <w:jc w:val="left"/>
        <w:rPr>
          <w:rStyle w:val="9"/>
          <w:rFonts w:ascii="Arial" w:hAnsi="Arial" w:cs="Arial"/>
          <w:color w:val="000000"/>
          <w:sz w:val="24"/>
          <w:szCs w:val="24"/>
          <w:shd w:val="clear" w:color="auto" w:fill="FFFFFF"/>
        </w:rPr>
      </w:pPr>
    </w:p>
    <w:p>
      <w:pPr>
        <w:numPr>
          <w:ilvl w:val="0"/>
          <w:numId w:val="1"/>
        </w:numPr>
        <w:ind w:firstLine="640" w:firstLineChars="200"/>
        <w:jc w:val="left"/>
        <w:rPr>
          <w:rStyle w:val="9"/>
          <w:rFonts w:ascii="黑体" w:hAnsi="黑体" w:eastAsia="黑体" w:cs="Arial"/>
          <w:b w:val="0"/>
          <w:color w:val="000000"/>
          <w:sz w:val="32"/>
          <w:szCs w:val="32"/>
          <w:shd w:val="clear" w:color="auto" w:fill="FFFFFF"/>
        </w:rPr>
      </w:pPr>
      <w:r>
        <w:rPr>
          <w:rStyle w:val="9"/>
          <w:rFonts w:ascii="黑体" w:hAnsi="黑体" w:eastAsia="黑体" w:cs="Arial"/>
          <w:b w:val="0"/>
          <w:color w:val="000000"/>
          <w:sz w:val="32"/>
          <w:szCs w:val="32"/>
          <w:shd w:val="clear" w:color="auto" w:fill="FFFFFF"/>
        </w:rPr>
        <w:t>收到和处理政府信息公开申请情况</w:t>
      </w:r>
    </w:p>
    <w:tbl>
      <w:tblPr>
        <w:tblStyle w:val="7"/>
        <w:tblW w:w="9846" w:type="dxa"/>
        <w:jc w:val="center"/>
        <w:tblInd w:w="-67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05"/>
        <w:gridCol w:w="1005"/>
        <w:gridCol w:w="3100"/>
        <w:gridCol w:w="750"/>
        <w:gridCol w:w="700"/>
        <w:gridCol w:w="675"/>
        <w:gridCol w:w="800"/>
        <w:gridCol w:w="797"/>
        <w:gridCol w:w="702"/>
        <w:gridCol w:w="6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0" w:hRule="atLeast"/>
          <w:jc w:val="center"/>
        </w:trPr>
        <w:tc>
          <w:tcPr>
            <w:tcW w:w="4810"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（本列数据的勾稽关系为：第一项加第二项之和，等于第三项加第四项之和）</w:t>
            </w:r>
          </w:p>
        </w:tc>
        <w:tc>
          <w:tcPr>
            <w:tcW w:w="5036"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2" w:hRule="atLeast"/>
          <w:jc w:val="center"/>
        </w:trPr>
        <w:tc>
          <w:tcPr>
            <w:tcW w:w="481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7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自然人</w:t>
            </w:r>
          </w:p>
        </w:tc>
        <w:tc>
          <w:tcPr>
            <w:tcW w:w="3674"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法人或其他组织</w:t>
            </w:r>
          </w:p>
        </w:tc>
        <w:tc>
          <w:tcPr>
            <w:tcW w:w="61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77" w:hRule="atLeast"/>
          <w:jc w:val="center"/>
        </w:trPr>
        <w:tc>
          <w:tcPr>
            <w:tcW w:w="481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7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商业企业</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科研机构</w:t>
            </w:r>
          </w:p>
        </w:tc>
        <w:tc>
          <w:tcPr>
            <w:tcW w:w="8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社会公益组织</w:t>
            </w:r>
          </w:p>
        </w:tc>
        <w:tc>
          <w:tcPr>
            <w:tcW w:w="79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法律服务机构</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其他</w:t>
            </w:r>
          </w:p>
        </w:tc>
        <w:tc>
          <w:tcPr>
            <w:tcW w:w="61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4" w:hRule="atLeast"/>
          <w:jc w:val="center"/>
        </w:trPr>
        <w:tc>
          <w:tcPr>
            <w:tcW w:w="481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一、本年新收政府信息公开申请数量</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1" w:hRule="atLeast"/>
          <w:jc w:val="center"/>
        </w:trPr>
        <w:tc>
          <w:tcPr>
            <w:tcW w:w="481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二、上年结转政府信息公开申请数量</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8" w:hRule="atLeast"/>
          <w:jc w:val="center"/>
        </w:trPr>
        <w:tc>
          <w:tcPr>
            <w:tcW w:w="70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三、本年度办理结果</w:t>
            </w:r>
          </w:p>
        </w:tc>
        <w:tc>
          <w:tcPr>
            <w:tcW w:w="41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（一）予以公开</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41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（二）部分公开（区分处理的，只计这一情形，不计其他情形）</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（三）不予公开</w:t>
            </w: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1.属于国家秘密</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2.其他法律行政法规禁止公开</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3.危及“三安全一稳定”</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4.保护第三方合法权益</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5.属于三类内部事务信息</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6.属于四类过程性信息</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7.属于行政执法案卷</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8.属于行政查询事项</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（四）无法提供</w:t>
            </w: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1.本机关不掌握相关政府信息</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2.没有现成信息需要另行制作</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3.补正后申请内容仍不明确</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（五）不予处理</w:t>
            </w: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1.信访举报投诉类申请</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2.重复申请</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3.要求提供公开出版物</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4.无正当理由大量反复申请</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4"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5.要求行政机关确认或重新出具已获取信息</w:t>
            </w:r>
          </w:p>
        </w:tc>
        <w:tc>
          <w:tcPr>
            <w:tcW w:w="750"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0"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75"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800"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97"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702"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c>
          <w:tcPr>
            <w:tcW w:w="612"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（六）其他处理</w:t>
            </w:r>
          </w:p>
        </w:tc>
        <w:tc>
          <w:tcPr>
            <w:tcW w:w="310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left"/>
              <w:rPr>
                <w:rFonts w:ascii="宋体" w:hAnsi="宋体" w:cs="宋体"/>
                <w:bCs/>
                <w:kern w:val="0"/>
                <w:sz w:val="22"/>
              </w:rPr>
            </w:pPr>
            <w:r>
              <w:rPr>
                <w:rFonts w:hint="eastAsia" w:ascii="宋体" w:hAnsi="宋体" w:cs="宋体"/>
                <w:bCs/>
                <w:kern w:val="0"/>
                <w:sz w:val="22"/>
              </w:rPr>
              <w:t>1.申请人无正当理由逾期不补正、行政机关不再处理其政府信息公开申请</w:t>
            </w:r>
          </w:p>
        </w:tc>
        <w:tc>
          <w:tcPr>
            <w:tcW w:w="7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70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67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80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79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70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6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sz w:val="22"/>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sz w:val="22"/>
              </w:rPr>
            </w:pP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kern w:val="0"/>
                <w:sz w:val="22"/>
              </w:rPr>
            </w:pPr>
            <w:r>
              <w:rPr>
                <w:rFonts w:hint="eastAsia" w:ascii="宋体" w:hAnsi="宋体" w:cs="宋体"/>
                <w:bCs/>
                <w:kern w:val="0"/>
                <w:sz w:val="22"/>
              </w:rPr>
              <w:t>2.申请人逾期未按收费通知要求缴纳费用、行政机关不再处理其政府信息公开申请</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8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79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sz w:val="22"/>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sz w:val="22"/>
              </w:rPr>
            </w:pP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kern w:val="0"/>
                <w:sz w:val="22"/>
              </w:rPr>
            </w:pPr>
            <w:r>
              <w:rPr>
                <w:rFonts w:hint="eastAsia" w:ascii="宋体" w:hAnsi="宋体" w:cs="宋体"/>
                <w:bCs/>
                <w:kern w:val="0"/>
                <w:sz w:val="22"/>
              </w:rPr>
              <w:t>3.其他</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8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79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sz w:val="22"/>
              </w:rPr>
            </w:pPr>
          </w:p>
        </w:tc>
        <w:tc>
          <w:tcPr>
            <w:tcW w:w="410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kern w:val="0"/>
                <w:sz w:val="22"/>
              </w:rPr>
            </w:pPr>
            <w:r>
              <w:rPr>
                <w:rFonts w:hint="eastAsia" w:ascii="宋体" w:hAnsi="宋体" w:cs="宋体"/>
                <w:bCs/>
                <w:kern w:val="0"/>
                <w:sz w:val="22"/>
              </w:rPr>
              <w:t>（七）总计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8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79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r>
              <w:rPr>
                <w:rFonts w:hint="eastAsia" w:ascii="宋体" w:hAnsi="宋体" w:cs="宋体"/>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jc w:val="center"/>
        </w:trPr>
        <w:tc>
          <w:tcPr>
            <w:tcW w:w="481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kern w:val="0"/>
                <w:sz w:val="22"/>
              </w:rPr>
            </w:pPr>
            <w:r>
              <w:rPr>
                <w:rFonts w:hint="eastAsia" w:ascii="宋体" w:hAnsi="宋体" w:cs="宋体"/>
                <w:bCs/>
                <w:kern w:val="0"/>
                <w:sz w:val="22"/>
              </w:rPr>
              <w:t>四、结转下年度继续办理</w:t>
            </w:r>
          </w:p>
        </w:tc>
        <w:tc>
          <w:tcPr>
            <w:tcW w:w="75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hint="eastAsia" w:ascii="宋体" w:hAnsi="宋体" w:eastAsia="宋体" w:cs="宋体"/>
                <w:bCs/>
                <w:kern w:val="0"/>
                <w:sz w:val="22"/>
                <w:lang w:val="en-US" w:eastAsia="zh-CN"/>
              </w:rPr>
            </w:pPr>
            <w:r>
              <w:rPr>
                <w:rFonts w:hint="eastAsia" w:ascii="宋体" w:hAnsi="宋体" w:cs="宋体"/>
                <w:bCs/>
                <w:kern w:val="0"/>
                <w:sz w:val="22"/>
                <w:lang w:val="en-US" w:eastAsia="zh-CN"/>
              </w:rPr>
              <w:t>0</w:t>
            </w:r>
          </w:p>
        </w:tc>
        <w:tc>
          <w:tcPr>
            <w:tcW w:w="70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hint="eastAsia" w:ascii="宋体" w:hAnsi="宋体" w:eastAsia="宋体" w:cs="宋体"/>
                <w:bCs/>
                <w:kern w:val="0"/>
                <w:sz w:val="22"/>
                <w:lang w:val="en-US" w:eastAsia="zh-CN"/>
              </w:rPr>
            </w:pPr>
            <w:r>
              <w:rPr>
                <w:rFonts w:hint="eastAsia" w:ascii="宋体" w:hAnsi="宋体" w:cs="宋体"/>
                <w:bCs/>
                <w:kern w:val="0"/>
                <w:sz w:val="22"/>
                <w:lang w:val="en-US" w:eastAsia="zh-CN"/>
              </w:rPr>
              <w:t>0</w:t>
            </w:r>
          </w:p>
        </w:tc>
        <w:tc>
          <w:tcPr>
            <w:tcW w:w="675"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hint="eastAsia" w:ascii="宋体" w:hAnsi="宋体" w:eastAsia="宋体" w:cs="宋体"/>
                <w:bCs/>
                <w:kern w:val="0"/>
                <w:sz w:val="22"/>
                <w:lang w:val="en-US" w:eastAsia="zh-CN"/>
              </w:rPr>
            </w:pPr>
            <w:r>
              <w:rPr>
                <w:rFonts w:hint="eastAsia" w:ascii="宋体" w:hAnsi="宋体" w:cs="宋体"/>
                <w:bCs/>
                <w:kern w:val="0"/>
                <w:sz w:val="22"/>
                <w:lang w:val="en-US" w:eastAsia="zh-CN"/>
              </w:rPr>
              <w:t>0</w:t>
            </w:r>
          </w:p>
        </w:tc>
        <w:tc>
          <w:tcPr>
            <w:tcW w:w="80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hint="eastAsia" w:ascii="宋体" w:hAnsi="宋体" w:eastAsia="宋体" w:cs="宋体"/>
                <w:bCs/>
                <w:kern w:val="0"/>
                <w:sz w:val="22"/>
                <w:lang w:val="en-US" w:eastAsia="zh-CN"/>
              </w:rPr>
            </w:pPr>
            <w:r>
              <w:rPr>
                <w:rFonts w:hint="eastAsia" w:ascii="宋体" w:hAnsi="宋体" w:cs="宋体"/>
                <w:bCs/>
                <w:kern w:val="0"/>
                <w:sz w:val="22"/>
                <w:lang w:val="en-US" w:eastAsia="zh-CN"/>
              </w:rPr>
              <w:t>0</w:t>
            </w:r>
          </w:p>
        </w:tc>
        <w:tc>
          <w:tcPr>
            <w:tcW w:w="797"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hint="eastAsia" w:ascii="宋体" w:hAnsi="宋体" w:eastAsia="宋体" w:cs="宋体"/>
                <w:bCs/>
                <w:kern w:val="0"/>
                <w:sz w:val="22"/>
                <w:lang w:val="en-US" w:eastAsia="zh-CN"/>
              </w:rPr>
            </w:pPr>
            <w:r>
              <w:rPr>
                <w:rFonts w:hint="eastAsia" w:ascii="宋体" w:hAnsi="宋体" w:cs="宋体"/>
                <w:bCs/>
                <w:kern w:val="0"/>
                <w:sz w:val="22"/>
                <w:lang w:val="en-US" w:eastAsia="zh-CN"/>
              </w:rPr>
              <w:t>0</w:t>
            </w:r>
          </w:p>
        </w:tc>
        <w:tc>
          <w:tcPr>
            <w:tcW w:w="702"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hint="eastAsia" w:ascii="宋体" w:hAnsi="宋体" w:eastAsia="宋体" w:cs="宋体"/>
                <w:bCs/>
                <w:kern w:val="0"/>
                <w:sz w:val="22"/>
                <w:lang w:val="en-US" w:eastAsia="zh-CN"/>
              </w:rPr>
            </w:pPr>
            <w:r>
              <w:rPr>
                <w:rFonts w:hint="eastAsia" w:ascii="宋体" w:hAnsi="宋体" w:cs="宋体"/>
                <w:bCs/>
                <w:kern w:val="0"/>
                <w:sz w:val="22"/>
                <w:lang w:val="en-US" w:eastAsia="zh-CN"/>
              </w:rPr>
              <w:t>0</w:t>
            </w:r>
          </w:p>
        </w:tc>
        <w:tc>
          <w:tcPr>
            <w:tcW w:w="612"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hint="eastAsia" w:ascii="宋体" w:hAnsi="宋体" w:eastAsia="宋体" w:cs="宋体"/>
                <w:bCs/>
                <w:kern w:val="0"/>
                <w:sz w:val="22"/>
                <w:lang w:val="en-US" w:eastAsia="zh-CN"/>
              </w:rPr>
            </w:pPr>
            <w:r>
              <w:rPr>
                <w:rFonts w:hint="eastAsia" w:ascii="宋体" w:hAnsi="宋体" w:cs="宋体"/>
                <w:bCs/>
                <w:kern w:val="0"/>
                <w:sz w:val="22"/>
                <w:lang w:val="en-US" w:eastAsia="zh-CN"/>
              </w:rPr>
              <w:t>0</w:t>
            </w:r>
          </w:p>
        </w:tc>
      </w:tr>
    </w:tbl>
    <w:p/>
    <w:p>
      <w:pPr>
        <w:ind w:firstLine="640" w:firstLineChars="200"/>
        <w:jc w:val="left"/>
        <w:rPr>
          <w:rStyle w:val="9"/>
          <w:rFonts w:ascii="黑体" w:hAnsi="黑体" w:eastAsia="黑体" w:cs="Arial"/>
          <w:b w:val="0"/>
          <w:color w:val="000000"/>
          <w:sz w:val="32"/>
          <w:szCs w:val="32"/>
          <w:shd w:val="clear" w:color="auto" w:fill="FFFFFF"/>
        </w:rPr>
      </w:pPr>
      <w:r>
        <w:rPr>
          <w:rStyle w:val="9"/>
          <w:rFonts w:ascii="黑体" w:hAnsi="黑体" w:eastAsia="黑体" w:cs="Arial"/>
          <w:b w:val="0"/>
          <w:color w:val="000000"/>
          <w:sz w:val="32"/>
          <w:szCs w:val="32"/>
          <w:shd w:val="clear" w:color="auto" w:fill="FFFFFF"/>
        </w:rPr>
        <w:t>四、政府信息公开行政复议、行政诉讼情况</w:t>
      </w:r>
    </w:p>
    <w:tbl>
      <w:tblPr>
        <w:tblStyle w:val="7"/>
        <w:tblW w:w="9839" w:type="dxa"/>
        <w:jc w:val="center"/>
        <w:tblInd w:w="-49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64"/>
        <w:gridCol w:w="662"/>
        <w:gridCol w:w="663"/>
        <w:gridCol w:w="662"/>
        <w:gridCol w:w="431"/>
        <w:gridCol w:w="932"/>
        <w:gridCol w:w="712"/>
        <w:gridCol w:w="669"/>
        <w:gridCol w:w="662"/>
        <w:gridCol w:w="450"/>
        <w:gridCol w:w="713"/>
        <w:gridCol w:w="737"/>
        <w:gridCol w:w="675"/>
        <w:gridCol w:w="663"/>
        <w:gridCol w:w="5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8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行政复议</w:t>
            </w:r>
          </w:p>
        </w:tc>
        <w:tc>
          <w:tcPr>
            <w:tcW w:w="675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6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结果维持</w:t>
            </w:r>
          </w:p>
        </w:tc>
        <w:tc>
          <w:tcPr>
            <w:tcW w:w="66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结果纠正</w:t>
            </w:r>
          </w:p>
        </w:tc>
        <w:tc>
          <w:tcPr>
            <w:tcW w:w="663"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其他结果</w:t>
            </w:r>
          </w:p>
        </w:tc>
        <w:tc>
          <w:tcPr>
            <w:tcW w:w="66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尚未审结</w:t>
            </w:r>
          </w:p>
        </w:tc>
        <w:tc>
          <w:tcPr>
            <w:tcW w:w="431"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总计</w:t>
            </w:r>
          </w:p>
        </w:tc>
        <w:tc>
          <w:tcPr>
            <w:tcW w:w="342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未经复议直接起诉</w:t>
            </w:r>
          </w:p>
        </w:tc>
        <w:tc>
          <w:tcPr>
            <w:tcW w:w="3332"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320" w:lineRule="exact"/>
              <w:jc w:val="center"/>
              <w:rPr>
                <w:rFonts w:ascii="宋体" w:hAnsi="宋体" w:cs="宋体"/>
                <w:bCs/>
                <w:sz w:val="22"/>
              </w:rPr>
            </w:pPr>
          </w:p>
        </w:tc>
        <w:tc>
          <w:tcPr>
            <w:tcW w:w="66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320" w:lineRule="exact"/>
              <w:jc w:val="center"/>
              <w:rPr>
                <w:rFonts w:ascii="宋体" w:hAnsi="宋体" w:cs="宋体"/>
                <w:bCs/>
                <w:sz w:val="22"/>
              </w:rPr>
            </w:pPr>
          </w:p>
        </w:tc>
        <w:tc>
          <w:tcPr>
            <w:tcW w:w="663"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20" w:lineRule="exact"/>
              <w:jc w:val="center"/>
              <w:rPr>
                <w:rFonts w:ascii="宋体" w:hAnsi="宋体" w:cs="宋体"/>
                <w:bCs/>
                <w:sz w:val="22"/>
              </w:rPr>
            </w:pPr>
          </w:p>
        </w:tc>
        <w:tc>
          <w:tcPr>
            <w:tcW w:w="66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20" w:lineRule="exact"/>
              <w:jc w:val="center"/>
              <w:rPr>
                <w:rFonts w:ascii="宋体" w:hAnsi="宋体" w:cs="宋体"/>
                <w:bCs/>
                <w:sz w:val="22"/>
              </w:rPr>
            </w:pPr>
          </w:p>
        </w:tc>
        <w:tc>
          <w:tcPr>
            <w:tcW w:w="431"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20" w:lineRule="exact"/>
              <w:jc w:val="center"/>
              <w:rPr>
                <w:rFonts w:ascii="宋体" w:hAnsi="宋体" w:cs="宋体"/>
                <w:bCs/>
                <w:sz w:val="22"/>
              </w:rPr>
            </w:pPr>
          </w:p>
        </w:tc>
        <w:tc>
          <w:tcPr>
            <w:tcW w:w="93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结果维持</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结果纠正</w:t>
            </w:r>
          </w:p>
        </w:tc>
        <w:tc>
          <w:tcPr>
            <w:tcW w:w="6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其他结果</w:t>
            </w:r>
          </w:p>
        </w:tc>
        <w:tc>
          <w:tcPr>
            <w:tcW w:w="66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尚未审结</w:t>
            </w:r>
          </w:p>
        </w:tc>
        <w:tc>
          <w:tcPr>
            <w:tcW w:w="4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总计</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结果维持</w:t>
            </w:r>
          </w:p>
        </w:tc>
        <w:tc>
          <w:tcPr>
            <w:tcW w:w="73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结果纠正</w:t>
            </w:r>
          </w:p>
        </w:tc>
        <w:tc>
          <w:tcPr>
            <w:tcW w:w="6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其他结果</w:t>
            </w:r>
          </w:p>
        </w:tc>
        <w:tc>
          <w:tcPr>
            <w:tcW w:w="66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尚未审结</w:t>
            </w:r>
          </w:p>
        </w:tc>
        <w:tc>
          <w:tcPr>
            <w:tcW w:w="54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6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66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66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66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43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93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66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4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73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66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c>
          <w:tcPr>
            <w:tcW w:w="54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20" w:lineRule="exact"/>
              <w:jc w:val="center"/>
              <w:rPr>
                <w:rFonts w:hint="eastAsia" w:ascii="宋体" w:hAnsi="宋体" w:eastAsia="宋体" w:cs="宋体"/>
                <w:bCs/>
                <w:sz w:val="22"/>
                <w:lang w:val="en-US" w:eastAsia="zh-CN"/>
              </w:rPr>
            </w:pPr>
            <w:r>
              <w:rPr>
                <w:rFonts w:hint="eastAsia" w:ascii="宋体" w:hAnsi="宋体" w:cs="宋体"/>
                <w:bCs/>
                <w:sz w:val="22"/>
                <w:lang w:val="en-US" w:eastAsia="zh-CN"/>
              </w:rPr>
              <w:t>0</w:t>
            </w:r>
          </w:p>
        </w:tc>
      </w:tr>
    </w:tbl>
    <w:p>
      <w:pPr>
        <w:ind w:firstLine="482" w:firstLineChars="200"/>
        <w:jc w:val="left"/>
        <w:rPr>
          <w:rStyle w:val="9"/>
          <w:rFonts w:ascii="Arial" w:hAnsi="Arial" w:cs="Arial"/>
          <w:color w:val="000000"/>
          <w:sz w:val="24"/>
          <w:szCs w:val="24"/>
          <w:shd w:val="clear" w:color="auto" w:fill="FFFFFF"/>
        </w:rPr>
      </w:pPr>
    </w:p>
    <w:p>
      <w:pPr>
        <w:pStyle w:val="6"/>
        <w:widowControl/>
        <w:shd w:val="clear" w:color="auto" w:fill="FFFFFF"/>
        <w:spacing w:beforeAutospacing="0" w:afterAutospacing="0" w:line="600" w:lineRule="exact"/>
        <w:ind w:firstLine="640" w:firstLineChars="200"/>
        <w:textAlignment w:val="top"/>
        <w:rPr>
          <w:rFonts w:ascii="黑体" w:hAnsi="黑体" w:eastAsia="黑体" w:cs="Arial"/>
          <w:b/>
          <w:color w:val="000000"/>
          <w:sz w:val="32"/>
          <w:szCs w:val="32"/>
        </w:rPr>
      </w:pPr>
      <w:r>
        <w:rPr>
          <w:rStyle w:val="9"/>
          <w:rFonts w:ascii="黑体" w:hAnsi="黑体" w:eastAsia="黑体" w:cs="Arial"/>
          <w:b w:val="0"/>
          <w:color w:val="000000"/>
          <w:sz w:val="32"/>
          <w:szCs w:val="32"/>
          <w:shd w:val="clear" w:color="auto" w:fill="FFFFFF"/>
        </w:rPr>
        <w:t>五、存在的主要问题及改进情况</w:t>
      </w:r>
    </w:p>
    <w:p>
      <w:pPr>
        <w:pStyle w:val="6"/>
        <w:widowControl/>
        <w:shd w:val="clear" w:color="auto" w:fill="FFFFFF"/>
        <w:spacing w:beforeAutospacing="0" w:afterAutospacing="0" w:line="600" w:lineRule="exact"/>
        <w:ind w:firstLine="627" w:firstLineChars="196"/>
        <w:textAlignment w:val="top"/>
        <w:rPr>
          <w:rFonts w:hint="eastAsia" w:ascii="仿宋_GB2312" w:eastAsia="仿宋_GB2312"/>
          <w:sz w:val="32"/>
          <w:szCs w:val="32"/>
        </w:rPr>
      </w:pPr>
      <w:r>
        <w:rPr>
          <w:rFonts w:hint="eastAsia" w:ascii="仿宋_GB2312" w:eastAsia="仿宋_GB2312"/>
          <w:sz w:val="32"/>
          <w:szCs w:val="32"/>
          <w:lang w:eastAsia="zh-CN"/>
        </w:rPr>
        <w:t>由于学校、部门信息工作人员的流动性较大，信息队伍建设不够到位，导致信息公开工作的及时性和质量上存在缺陷</w:t>
      </w:r>
      <w:r>
        <w:rPr>
          <w:rFonts w:hint="eastAsia" w:ascii="仿宋_GB2312" w:eastAsia="仿宋_GB2312"/>
          <w:sz w:val="32"/>
          <w:szCs w:val="32"/>
        </w:rPr>
        <w:t>。针对存在的问题，我局将采取以下措施予以改进：一是加强培训和指导</w:t>
      </w:r>
      <w:r>
        <w:rPr>
          <w:rFonts w:hint="eastAsia" w:ascii="仿宋_GB2312" w:eastAsia="仿宋_GB2312"/>
          <w:sz w:val="32"/>
          <w:szCs w:val="32"/>
          <w:lang w:eastAsia="zh-CN"/>
        </w:rPr>
        <w:t>，提升业务能力。</w:t>
      </w:r>
      <w:r>
        <w:rPr>
          <w:rFonts w:hint="eastAsia" w:ascii="仿宋_GB2312" w:eastAsia="仿宋_GB2312"/>
          <w:sz w:val="32"/>
          <w:szCs w:val="32"/>
        </w:rPr>
        <w:t>加强对各处室人员有关政府信息公开相关法规、制度的培训与工作指导，</w:t>
      </w:r>
      <w:r>
        <w:rPr>
          <w:rFonts w:hint="eastAsia" w:ascii="仿宋_GB2312" w:eastAsia="仿宋_GB2312"/>
          <w:sz w:val="32"/>
          <w:szCs w:val="32"/>
          <w:lang w:eastAsia="zh-CN"/>
        </w:rPr>
        <w:t>提升宣传意识，</w:t>
      </w:r>
      <w:r>
        <w:rPr>
          <w:rFonts w:hint="eastAsia" w:ascii="仿宋_GB2312" w:eastAsia="仿宋_GB2312"/>
          <w:sz w:val="32"/>
          <w:szCs w:val="32"/>
        </w:rPr>
        <w:t>进一步提高教育系统政务公开队伍的工作能力，确保政府信息公开工作全面落实并扎实有效推进。二是配合政府做好网站建设，提升服务水平。为政务公开工作提供更好的平台；及时更新各栏目内容，确保信息内容的全面性、准确性和权威性，重点拓展招生考试、人事招聘</w:t>
      </w:r>
      <w:r>
        <w:rPr>
          <w:rFonts w:hint="eastAsia" w:ascii="仿宋_GB2312" w:eastAsia="仿宋_GB2312"/>
          <w:sz w:val="32"/>
          <w:szCs w:val="32"/>
          <w:lang w:eastAsia="zh-CN"/>
        </w:rPr>
        <w:t>、政策发布</w:t>
      </w:r>
      <w:r>
        <w:rPr>
          <w:rFonts w:hint="eastAsia" w:ascii="仿宋_GB2312" w:eastAsia="仿宋_GB2312"/>
          <w:sz w:val="32"/>
          <w:szCs w:val="32"/>
        </w:rPr>
        <w:t>等公众关注及重大项目建设的政府信息，切实提高政府工作透明度。三是加大</w:t>
      </w:r>
      <w:r>
        <w:rPr>
          <w:rFonts w:hint="eastAsia" w:ascii="仿宋_GB2312" w:eastAsia="仿宋_GB2312"/>
          <w:sz w:val="32"/>
          <w:szCs w:val="32"/>
          <w:lang w:eastAsia="zh-CN"/>
        </w:rPr>
        <w:t>宣传力度，提升影响力。</w:t>
      </w:r>
      <w:r>
        <w:rPr>
          <w:rFonts w:hint="eastAsia" w:ascii="仿宋_GB2312" w:eastAsia="仿宋_GB2312"/>
          <w:sz w:val="32"/>
          <w:szCs w:val="32"/>
        </w:rPr>
        <w:t>信息公开渠道及方式的宣传力度，提高社会关注度，让公众明确了解信息的平台，提升群众接收讯息的便捷性、时效性、有效性。</w:t>
      </w:r>
    </w:p>
    <w:p>
      <w:pPr>
        <w:pStyle w:val="6"/>
        <w:widowControl/>
        <w:shd w:val="clear" w:color="auto" w:fill="FFFFFF"/>
        <w:spacing w:beforeAutospacing="0" w:afterAutospacing="0" w:line="600" w:lineRule="exact"/>
        <w:ind w:firstLine="627" w:firstLineChars="196"/>
        <w:textAlignment w:val="top"/>
        <w:rPr>
          <w:rFonts w:ascii="黑体" w:hAnsi="黑体" w:eastAsia="黑体" w:cs="Arial"/>
          <w:b/>
          <w:color w:val="000000"/>
          <w:sz w:val="32"/>
          <w:szCs w:val="32"/>
        </w:rPr>
      </w:pPr>
      <w:r>
        <w:rPr>
          <w:rStyle w:val="9"/>
          <w:rFonts w:ascii="黑体" w:hAnsi="黑体" w:eastAsia="黑体" w:cs="Arial"/>
          <w:b w:val="0"/>
          <w:color w:val="000000"/>
          <w:sz w:val="32"/>
          <w:szCs w:val="32"/>
          <w:shd w:val="clear" w:color="auto" w:fill="FFFFFF"/>
        </w:rPr>
        <w:t>六、其他需要报告的事项</w:t>
      </w:r>
    </w:p>
    <w:p>
      <w:pPr>
        <w:pStyle w:val="6"/>
        <w:widowControl/>
        <w:shd w:val="clear" w:color="auto" w:fill="FFFFFF"/>
        <w:spacing w:beforeAutospacing="0" w:afterAutospacing="0" w:line="540" w:lineRule="atLeast"/>
        <w:ind w:firstLine="640" w:firstLineChars="200"/>
        <w:textAlignment w:val="top"/>
        <w:rPr>
          <w:rFonts w:hint="eastAsia" w:ascii="Arial" w:hAnsi="Arial" w:eastAsia="宋体" w:cs="Arial"/>
          <w:color w:val="000000"/>
          <w:szCs w:val="24"/>
          <w:lang w:eastAsia="zh-CN"/>
        </w:rPr>
      </w:pPr>
      <w:r>
        <w:rPr>
          <w:rFonts w:hint="eastAsia" w:ascii="仿宋_GB2312" w:hAnsi="Arial" w:eastAsia="仿宋_GB2312" w:cs="Arial"/>
          <w:color w:val="000000"/>
          <w:sz w:val="32"/>
          <w:szCs w:val="32"/>
          <w:shd w:val="clear" w:color="auto" w:fill="FFFFFF"/>
          <w:lang w:eastAsia="zh-CN"/>
        </w:rPr>
        <w:t>无</w:t>
      </w:r>
    </w:p>
    <w:p>
      <w:pPr>
        <w:ind w:firstLine="482" w:firstLineChars="200"/>
        <w:jc w:val="left"/>
        <w:rPr>
          <w:rStyle w:val="9"/>
          <w:rFonts w:ascii="Arial" w:hAnsi="Arial" w:cs="Arial"/>
          <w:color w:val="000000"/>
          <w:sz w:val="24"/>
          <w:szCs w:val="24"/>
          <w:shd w:val="clear" w:color="auto" w:fill="FFFFFF"/>
        </w:rPr>
      </w:pPr>
    </w:p>
    <w:p>
      <w:pPr>
        <w:rPr>
          <w:rFonts w:ascii="仿宋_GB2312" w:eastAsia="仿宋_GB2312"/>
          <w:sz w:val="32"/>
          <w:szCs w:val="32"/>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4</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28BAE"/>
    <w:multiLevelType w:val="singleLevel"/>
    <w:tmpl w:val="58928BA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877"/>
    <w:rsid w:val="00000504"/>
    <w:rsid w:val="00002D68"/>
    <w:rsid w:val="00006C0B"/>
    <w:rsid w:val="000106BC"/>
    <w:rsid w:val="00013EAA"/>
    <w:rsid w:val="00014216"/>
    <w:rsid w:val="00015412"/>
    <w:rsid w:val="00015BC0"/>
    <w:rsid w:val="000163C1"/>
    <w:rsid w:val="00016E7F"/>
    <w:rsid w:val="000201B9"/>
    <w:rsid w:val="00021302"/>
    <w:rsid w:val="00022290"/>
    <w:rsid w:val="00022C46"/>
    <w:rsid w:val="0002318E"/>
    <w:rsid w:val="00023D87"/>
    <w:rsid w:val="000252D6"/>
    <w:rsid w:val="000260D2"/>
    <w:rsid w:val="000269D4"/>
    <w:rsid w:val="00032938"/>
    <w:rsid w:val="00032C3E"/>
    <w:rsid w:val="00032CA9"/>
    <w:rsid w:val="00034C4E"/>
    <w:rsid w:val="00034FD3"/>
    <w:rsid w:val="00040DB3"/>
    <w:rsid w:val="000457EE"/>
    <w:rsid w:val="00046AA7"/>
    <w:rsid w:val="00051FB1"/>
    <w:rsid w:val="00051FC1"/>
    <w:rsid w:val="000546C9"/>
    <w:rsid w:val="00054AA4"/>
    <w:rsid w:val="00055167"/>
    <w:rsid w:val="00056C6D"/>
    <w:rsid w:val="00056CF7"/>
    <w:rsid w:val="00064461"/>
    <w:rsid w:val="000662BF"/>
    <w:rsid w:val="00070EDA"/>
    <w:rsid w:val="00071A96"/>
    <w:rsid w:val="00074343"/>
    <w:rsid w:val="00077178"/>
    <w:rsid w:val="000821BA"/>
    <w:rsid w:val="00090E08"/>
    <w:rsid w:val="00093AB2"/>
    <w:rsid w:val="00094FA4"/>
    <w:rsid w:val="00095330"/>
    <w:rsid w:val="00097D3B"/>
    <w:rsid w:val="000A1B91"/>
    <w:rsid w:val="000A2E66"/>
    <w:rsid w:val="000A2EC6"/>
    <w:rsid w:val="000A34C8"/>
    <w:rsid w:val="000A36DA"/>
    <w:rsid w:val="000A491D"/>
    <w:rsid w:val="000A6316"/>
    <w:rsid w:val="000A7EF1"/>
    <w:rsid w:val="000B0E57"/>
    <w:rsid w:val="000B2C59"/>
    <w:rsid w:val="000B30C8"/>
    <w:rsid w:val="000B44D9"/>
    <w:rsid w:val="000B53E8"/>
    <w:rsid w:val="000B65C8"/>
    <w:rsid w:val="000B68C2"/>
    <w:rsid w:val="000C67B5"/>
    <w:rsid w:val="000C6BB2"/>
    <w:rsid w:val="000C78E8"/>
    <w:rsid w:val="000D04B0"/>
    <w:rsid w:val="000D356F"/>
    <w:rsid w:val="000D3BFD"/>
    <w:rsid w:val="000D4867"/>
    <w:rsid w:val="000D5900"/>
    <w:rsid w:val="000D5CA0"/>
    <w:rsid w:val="000D6A9F"/>
    <w:rsid w:val="000D72F7"/>
    <w:rsid w:val="000E034F"/>
    <w:rsid w:val="000E367D"/>
    <w:rsid w:val="000E6732"/>
    <w:rsid w:val="000E76A4"/>
    <w:rsid w:val="000F2D62"/>
    <w:rsid w:val="000F3F1A"/>
    <w:rsid w:val="000F5245"/>
    <w:rsid w:val="000F5561"/>
    <w:rsid w:val="000F5E99"/>
    <w:rsid w:val="000F7F03"/>
    <w:rsid w:val="00101636"/>
    <w:rsid w:val="00103DE6"/>
    <w:rsid w:val="001064D0"/>
    <w:rsid w:val="00107229"/>
    <w:rsid w:val="001074F3"/>
    <w:rsid w:val="00113F52"/>
    <w:rsid w:val="001141BF"/>
    <w:rsid w:val="001158D6"/>
    <w:rsid w:val="00115A94"/>
    <w:rsid w:val="00115AF9"/>
    <w:rsid w:val="00115C67"/>
    <w:rsid w:val="001162DE"/>
    <w:rsid w:val="00116CDD"/>
    <w:rsid w:val="00120DD6"/>
    <w:rsid w:val="00121224"/>
    <w:rsid w:val="0012282B"/>
    <w:rsid w:val="00122CA3"/>
    <w:rsid w:val="001258A8"/>
    <w:rsid w:val="00126EEF"/>
    <w:rsid w:val="001309C0"/>
    <w:rsid w:val="00132580"/>
    <w:rsid w:val="00132C2B"/>
    <w:rsid w:val="001340DA"/>
    <w:rsid w:val="0014237C"/>
    <w:rsid w:val="00142FF5"/>
    <w:rsid w:val="00144BC0"/>
    <w:rsid w:val="00144E78"/>
    <w:rsid w:val="001457F9"/>
    <w:rsid w:val="00155A0F"/>
    <w:rsid w:val="00161132"/>
    <w:rsid w:val="00171178"/>
    <w:rsid w:val="00171401"/>
    <w:rsid w:val="00177AA4"/>
    <w:rsid w:val="00180E04"/>
    <w:rsid w:val="001824E6"/>
    <w:rsid w:val="00182CDD"/>
    <w:rsid w:val="00183D27"/>
    <w:rsid w:val="00183F4E"/>
    <w:rsid w:val="0018571A"/>
    <w:rsid w:val="00187471"/>
    <w:rsid w:val="00190D6D"/>
    <w:rsid w:val="00191C27"/>
    <w:rsid w:val="001923DC"/>
    <w:rsid w:val="001926A4"/>
    <w:rsid w:val="00192E7D"/>
    <w:rsid w:val="001933A0"/>
    <w:rsid w:val="00193BEC"/>
    <w:rsid w:val="00193C04"/>
    <w:rsid w:val="00196C72"/>
    <w:rsid w:val="00196DA9"/>
    <w:rsid w:val="001A0D7B"/>
    <w:rsid w:val="001A11BF"/>
    <w:rsid w:val="001A3127"/>
    <w:rsid w:val="001B1217"/>
    <w:rsid w:val="001B22C8"/>
    <w:rsid w:val="001B40E8"/>
    <w:rsid w:val="001B420E"/>
    <w:rsid w:val="001B5578"/>
    <w:rsid w:val="001B7C5E"/>
    <w:rsid w:val="001C0DD1"/>
    <w:rsid w:val="001C2866"/>
    <w:rsid w:val="001C4967"/>
    <w:rsid w:val="001C5031"/>
    <w:rsid w:val="001C5517"/>
    <w:rsid w:val="001C5C92"/>
    <w:rsid w:val="001C642E"/>
    <w:rsid w:val="001D01D8"/>
    <w:rsid w:val="001D23B4"/>
    <w:rsid w:val="001D287E"/>
    <w:rsid w:val="001D6A34"/>
    <w:rsid w:val="001E051A"/>
    <w:rsid w:val="001E3566"/>
    <w:rsid w:val="001E370E"/>
    <w:rsid w:val="001E4DCD"/>
    <w:rsid w:val="001E612D"/>
    <w:rsid w:val="001F0B9E"/>
    <w:rsid w:val="001F407F"/>
    <w:rsid w:val="001F4886"/>
    <w:rsid w:val="001F6A51"/>
    <w:rsid w:val="00200180"/>
    <w:rsid w:val="00202E25"/>
    <w:rsid w:val="00207B05"/>
    <w:rsid w:val="00210AB1"/>
    <w:rsid w:val="00212CCE"/>
    <w:rsid w:val="00212D77"/>
    <w:rsid w:val="002154A3"/>
    <w:rsid w:val="0021557F"/>
    <w:rsid w:val="00216AEE"/>
    <w:rsid w:val="00220068"/>
    <w:rsid w:val="0022034F"/>
    <w:rsid w:val="002204A8"/>
    <w:rsid w:val="002206DC"/>
    <w:rsid w:val="00221C19"/>
    <w:rsid w:val="002230F7"/>
    <w:rsid w:val="00223C88"/>
    <w:rsid w:val="0022422F"/>
    <w:rsid w:val="00226298"/>
    <w:rsid w:val="00226959"/>
    <w:rsid w:val="00227300"/>
    <w:rsid w:val="0023140D"/>
    <w:rsid w:val="002320AF"/>
    <w:rsid w:val="00233B74"/>
    <w:rsid w:val="002343EF"/>
    <w:rsid w:val="0023491A"/>
    <w:rsid w:val="00235414"/>
    <w:rsid w:val="00236065"/>
    <w:rsid w:val="00242182"/>
    <w:rsid w:val="0025234E"/>
    <w:rsid w:val="00252C37"/>
    <w:rsid w:val="002602F6"/>
    <w:rsid w:val="00260C5B"/>
    <w:rsid w:val="0026340E"/>
    <w:rsid w:val="00263517"/>
    <w:rsid w:val="0026470D"/>
    <w:rsid w:val="00264C2A"/>
    <w:rsid w:val="00265385"/>
    <w:rsid w:val="002737E4"/>
    <w:rsid w:val="00277CE5"/>
    <w:rsid w:val="00280A4C"/>
    <w:rsid w:val="00283773"/>
    <w:rsid w:val="00283C49"/>
    <w:rsid w:val="00286738"/>
    <w:rsid w:val="00286758"/>
    <w:rsid w:val="00286EA9"/>
    <w:rsid w:val="00291D67"/>
    <w:rsid w:val="002923DC"/>
    <w:rsid w:val="002947E3"/>
    <w:rsid w:val="00294E0C"/>
    <w:rsid w:val="002A1464"/>
    <w:rsid w:val="002A28A4"/>
    <w:rsid w:val="002A438A"/>
    <w:rsid w:val="002B3F31"/>
    <w:rsid w:val="002B410B"/>
    <w:rsid w:val="002B5C71"/>
    <w:rsid w:val="002B60CF"/>
    <w:rsid w:val="002B6295"/>
    <w:rsid w:val="002B6C90"/>
    <w:rsid w:val="002B75E7"/>
    <w:rsid w:val="002C55BD"/>
    <w:rsid w:val="002C66A4"/>
    <w:rsid w:val="002C7CC5"/>
    <w:rsid w:val="002D0DFB"/>
    <w:rsid w:val="002D3FCE"/>
    <w:rsid w:val="002D442B"/>
    <w:rsid w:val="002D6629"/>
    <w:rsid w:val="002E1B92"/>
    <w:rsid w:val="002E2A27"/>
    <w:rsid w:val="002E2E5D"/>
    <w:rsid w:val="002E3459"/>
    <w:rsid w:val="002E3BDC"/>
    <w:rsid w:val="002E5122"/>
    <w:rsid w:val="002F25A7"/>
    <w:rsid w:val="002F45A3"/>
    <w:rsid w:val="002F5265"/>
    <w:rsid w:val="002F5F28"/>
    <w:rsid w:val="002F76D7"/>
    <w:rsid w:val="002F7FE1"/>
    <w:rsid w:val="0030042C"/>
    <w:rsid w:val="003112F5"/>
    <w:rsid w:val="003113C2"/>
    <w:rsid w:val="003114C8"/>
    <w:rsid w:val="00312A81"/>
    <w:rsid w:val="00315691"/>
    <w:rsid w:val="003159E2"/>
    <w:rsid w:val="00315DBD"/>
    <w:rsid w:val="003163B0"/>
    <w:rsid w:val="00320607"/>
    <w:rsid w:val="0032083E"/>
    <w:rsid w:val="00321195"/>
    <w:rsid w:val="00321651"/>
    <w:rsid w:val="00322922"/>
    <w:rsid w:val="00325C8B"/>
    <w:rsid w:val="00326D2D"/>
    <w:rsid w:val="00327249"/>
    <w:rsid w:val="00327728"/>
    <w:rsid w:val="00332F87"/>
    <w:rsid w:val="003354A2"/>
    <w:rsid w:val="00335753"/>
    <w:rsid w:val="003359BA"/>
    <w:rsid w:val="003363AF"/>
    <w:rsid w:val="0033641D"/>
    <w:rsid w:val="0034442A"/>
    <w:rsid w:val="00346ABA"/>
    <w:rsid w:val="00346ED3"/>
    <w:rsid w:val="00346EDC"/>
    <w:rsid w:val="00350A35"/>
    <w:rsid w:val="00351370"/>
    <w:rsid w:val="003544EE"/>
    <w:rsid w:val="00354A8B"/>
    <w:rsid w:val="00355701"/>
    <w:rsid w:val="003566A3"/>
    <w:rsid w:val="00357C48"/>
    <w:rsid w:val="00360830"/>
    <w:rsid w:val="00361F45"/>
    <w:rsid w:val="00362562"/>
    <w:rsid w:val="00363E00"/>
    <w:rsid w:val="00363F65"/>
    <w:rsid w:val="00365206"/>
    <w:rsid w:val="0036620F"/>
    <w:rsid w:val="00366427"/>
    <w:rsid w:val="00366F10"/>
    <w:rsid w:val="00367145"/>
    <w:rsid w:val="00367941"/>
    <w:rsid w:val="0037507F"/>
    <w:rsid w:val="00376CF1"/>
    <w:rsid w:val="00380A3C"/>
    <w:rsid w:val="00383270"/>
    <w:rsid w:val="00386A7B"/>
    <w:rsid w:val="0038790C"/>
    <w:rsid w:val="0039124E"/>
    <w:rsid w:val="00392877"/>
    <w:rsid w:val="00392C92"/>
    <w:rsid w:val="0039565C"/>
    <w:rsid w:val="00396A96"/>
    <w:rsid w:val="003A0006"/>
    <w:rsid w:val="003A0B2A"/>
    <w:rsid w:val="003A2785"/>
    <w:rsid w:val="003A2B85"/>
    <w:rsid w:val="003A3909"/>
    <w:rsid w:val="003A665D"/>
    <w:rsid w:val="003A706F"/>
    <w:rsid w:val="003B1B69"/>
    <w:rsid w:val="003B3F27"/>
    <w:rsid w:val="003B40D1"/>
    <w:rsid w:val="003B6715"/>
    <w:rsid w:val="003B74CD"/>
    <w:rsid w:val="003C0936"/>
    <w:rsid w:val="003C6EBB"/>
    <w:rsid w:val="003C6F20"/>
    <w:rsid w:val="003D0A35"/>
    <w:rsid w:val="003D0FA3"/>
    <w:rsid w:val="003E0979"/>
    <w:rsid w:val="003E27BE"/>
    <w:rsid w:val="003E5095"/>
    <w:rsid w:val="003E5E90"/>
    <w:rsid w:val="003E61AC"/>
    <w:rsid w:val="003E6D29"/>
    <w:rsid w:val="003E78C9"/>
    <w:rsid w:val="003F016D"/>
    <w:rsid w:val="003F0AF0"/>
    <w:rsid w:val="003F0F0F"/>
    <w:rsid w:val="003F2079"/>
    <w:rsid w:val="003F307B"/>
    <w:rsid w:val="003F4D35"/>
    <w:rsid w:val="003F5CAA"/>
    <w:rsid w:val="003F7058"/>
    <w:rsid w:val="004013A9"/>
    <w:rsid w:val="00403CB7"/>
    <w:rsid w:val="00404699"/>
    <w:rsid w:val="0040569A"/>
    <w:rsid w:val="00406FAE"/>
    <w:rsid w:val="00407162"/>
    <w:rsid w:val="004073D2"/>
    <w:rsid w:val="0041094E"/>
    <w:rsid w:val="004112D5"/>
    <w:rsid w:val="004115D9"/>
    <w:rsid w:val="0041339F"/>
    <w:rsid w:val="00413E97"/>
    <w:rsid w:val="00414461"/>
    <w:rsid w:val="00414566"/>
    <w:rsid w:val="00416250"/>
    <w:rsid w:val="004178E2"/>
    <w:rsid w:val="00417EC9"/>
    <w:rsid w:val="00426D5B"/>
    <w:rsid w:val="00426F16"/>
    <w:rsid w:val="00427348"/>
    <w:rsid w:val="0043422C"/>
    <w:rsid w:val="00442DFA"/>
    <w:rsid w:val="00446E02"/>
    <w:rsid w:val="00450C78"/>
    <w:rsid w:val="00451308"/>
    <w:rsid w:val="00452ECC"/>
    <w:rsid w:val="004536F8"/>
    <w:rsid w:val="00454A58"/>
    <w:rsid w:val="00457DCD"/>
    <w:rsid w:val="00461BFD"/>
    <w:rsid w:val="0046761F"/>
    <w:rsid w:val="00471353"/>
    <w:rsid w:val="00471705"/>
    <w:rsid w:val="00473E99"/>
    <w:rsid w:val="00476100"/>
    <w:rsid w:val="0047655A"/>
    <w:rsid w:val="00476F31"/>
    <w:rsid w:val="00477914"/>
    <w:rsid w:val="00480A7F"/>
    <w:rsid w:val="004814D3"/>
    <w:rsid w:val="00484E85"/>
    <w:rsid w:val="00486278"/>
    <w:rsid w:val="004867B3"/>
    <w:rsid w:val="00486D40"/>
    <w:rsid w:val="00486EFE"/>
    <w:rsid w:val="00486F03"/>
    <w:rsid w:val="004902E7"/>
    <w:rsid w:val="00490741"/>
    <w:rsid w:val="004908E2"/>
    <w:rsid w:val="0049094F"/>
    <w:rsid w:val="004915FC"/>
    <w:rsid w:val="0049185A"/>
    <w:rsid w:val="00491B81"/>
    <w:rsid w:val="004926EB"/>
    <w:rsid w:val="00493C13"/>
    <w:rsid w:val="00495934"/>
    <w:rsid w:val="004969D3"/>
    <w:rsid w:val="004A070B"/>
    <w:rsid w:val="004A3274"/>
    <w:rsid w:val="004A36F5"/>
    <w:rsid w:val="004A4FCA"/>
    <w:rsid w:val="004A6E50"/>
    <w:rsid w:val="004B092F"/>
    <w:rsid w:val="004B0FAD"/>
    <w:rsid w:val="004B2689"/>
    <w:rsid w:val="004B3C98"/>
    <w:rsid w:val="004B4D62"/>
    <w:rsid w:val="004B5575"/>
    <w:rsid w:val="004B5D41"/>
    <w:rsid w:val="004B7036"/>
    <w:rsid w:val="004C1016"/>
    <w:rsid w:val="004C1D08"/>
    <w:rsid w:val="004C2109"/>
    <w:rsid w:val="004C3CE1"/>
    <w:rsid w:val="004C3E10"/>
    <w:rsid w:val="004C5AB9"/>
    <w:rsid w:val="004C6AF0"/>
    <w:rsid w:val="004C74BD"/>
    <w:rsid w:val="004C7D08"/>
    <w:rsid w:val="004D048C"/>
    <w:rsid w:val="004D07EA"/>
    <w:rsid w:val="004D1CED"/>
    <w:rsid w:val="004D355E"/>
    <w:rsid w:val="004D4226"/>
    <w:rsid w:val="004D44DE"/>
    <w:rsid w:val="004D7E54"/>
    <w:rsid w:val="004E4852"/>
    <w:rsid w:val="004E6E92"/>
    <w:rsid w:val="004E7BA4"/>
    <w:rsid w:val="004E7CA6"/>
    <w:rsid w:val="004F02DB"/>
    <w:rsid w:val="004F2266"/>
    <w:rsid w:val="004F24E8"/>
    <w:rsid w:val="004F2F24"/>
    <w:rsid w:val="004F4808"/>
    <w:rsid w:val="004F56DC"/>
    <w:rsid w:val="004F7157"/>
    <w:rsid w:val="005012C4"/>
    <w:rsid w:val="005016A3"/>
    <w:rsid w:val="00502CB2"/>
    <w:rsid w:val="0050582C"/>
    <w:rsid w:val="00507E8B"/>
    <w:rsid w:val="0051077C"/>
    <w:rsid w:val="0051185E"/>
    <w:rsid w:val="00512199"/>
    <w:rsid w:val="0051375B"/>
    <w:rsid w:val="0051387B"/>
    <w:rsid w:val="00513B29"/>
    <w:rsid w:val="00513E8E"/>
    <w:rsid w:val="00514D80"/>
    <w:rsid w:val="0051654F"/>
    <w:rsid w:val="005228CE"/>
    <w:rsid w:val="00523A70"/>
    <w:rsid w:val="00524A27"/>
    <w:rsid w:val="00525EF2"/>
    <w:rsid w:val="00527CE5"/>
    <w:rsid w:val="00527F5F"/>
    <w:rsid w:val="00531282"/>
    <w:rsid w:val="005314AA"/>
    <w:rsid w:val="00531D15"/>
    <w:rsid w:val="005366AF"/>
    <w:rsid w:val="00536DB6"/>
    <w:rsid w:val="00537B7B"/>
    <w:rsid w:val="005415BF"/>
    <w:rsid w:val="005420E8"/>
    <w:rsid w:val="00545152"/>
    <w:rsid w:val="005455F7"/>
    <w:rsid w:val="00546ADB"/>
    <w:rsid w:val="00547578"/>
    <w:rsid w:val="0054799C"/>
    <w:rsid w:val="00550533"/>
    <w:rsid w:val="00553191"/>
    <w:rsid w:val="00554A91"/>
    <w:rsid w:val="00556B36"/>
    <w:rsid w:val="00557B8A"/>
    <w:rsid w:val="005607F6"/>
    <w:rsid w:val="005614A2"/>
    <w:rsid w:val="00563E06"/>
    <w:rsid w:val="00565977"/>
    <w:rsid w:val="00566C17"/>
    <w:rsid w:val="00566D69"/>
    <w:rsid w:val="0057079B"/>
    <w:rsid w:val="00571FF9"/>
    <w:rsid w:val="005724D1"/>
    <w:rsid w:val="0057367C"/>
    <w:rsid w:val="0057461E"/>
    <w:rsid w:val="00575005"/>
    <w:rsid w:val="00576599"/>
    <w:rsid w:val="005768C1"/>
    <w:rsid w:val="00580722"/>
    <w:rsid w:val="00582C3C"/>
    <w:rsid w:val="00583A3F"/>
    <w:rsid w:val="00584EF1"/>
    <w:rsid w:val="00585E92"/>
    <w:rsid w:val="00587BB0"/>
    <w:rsid w:val="00591CC1"/>
    <w:rsid w:val="0059233D"/>
    <w:rsid w:val="005930D6"/>
    <w:rsid w:val="00593798"/>
    <w:rsid w:val="00594F30"/>
    <w:rsid w:val="00595FCB"/>
    <w:rsid w:val="005966E2"/>
    <w:rsid w:val="005967AE"/>
    <w:rsid w:val="005A1159"/>
    <w:rsid w:val="005A2A3A"/>
    <w:rsid w:val="005A2B57"/>
    <w:rsid w:val="005A38BE"/>
    <w:rsid w:val="005B162A"/>
    <w:rsid w:val="005B3278"/>
    <w:rsid w:val="005B5924"/>
    <w:rsid w:val="005B5C30"/>
    <w:rsid w:val="005C017D"/>
    <w:rsid w:val="005C1F74"/>
    <w:rsid w:val="005C2DB2"/>
    <w:rsid w:val="005C5973"/>
    <w:rsid w:val="005C70C3"/>
    <w:rsid w:val="005C73B6"/>
    <w:rsid w:val="005D1555"/>
    <w:rsid w:val="005D194E"/>
    <w:rsid w:val="005D5A4F"/>
    <w:rsid w:val="005D6EC0"/>
    <w:rsid w:val="005E1071"/>
    <w:rsid w:val="005E2D9B"/>
    <w:rsid w:val="005E33E3"/>
    <w:rsid w:val="005E358C"/>
    <w:rsid w:val="005F2A25"/>
    <w:rsid w:val="005F326A"/>
    <w:rsid w:val="005F34D0"/>
    <w:rsid w:val="005F5C44"/>
    <w:rsid w:val="005F7A13"/>
    <w:rsid w:val="00600317"/>
    <w:rsid w:val="00604054"/>
    <w:rsid w:val="00604C65"/>
    <w:rsid w:val="00604E56"/>
    <w:rsid w:val="00607BDD"/>
    <w:rsid w:val="00607D67"/>
    <w:rsid w:val="006101F2"/>
    <w:rsid w:val="00611FB5"/>
    <w:rsid w:val="0061254F"/>
    <w:rsid w:val="0061259E"/>
    <w:rsid w:val="00612866"/>
    <w:rsid w:val="006171B7"/>
    <w:rsid w:val="006172AF"/>
    <w:rsid w:val="0062132B"/>
    <w:rsid w:val="006246EB"/>
    <w:rsid w:val="00624B18"/>
    <w:rsid w:val="00626B84"/>
    <w:rsid w:val="006271C4"/>
    <w:rsid w:val="006273B2"/>
    <w:rsid w:val="006279FA"/>
    <w:rsid w:val="00631085"/>
    <w:rsid w:val="00631F84"/>
    <w:rsid w:val="00632AE2"/>
    <w:rsid w:val="00633AAE"/>
    <w:rsid w:val="00634838"/>
    <w:rsid w:val="0063652D"/>
    <w:rsid w:val="00637425"/>
    <w:rsid w:val="006404A1"/>
    <w:rsid w:val="00641009"/>
    <w:rsid w:val="00641D81"/>
    <w:rsid w:val="00641EA1"/>
    <w:rsid w:val="00643A54"/>
    <w:rsid w:val="00643EFD"/>
    <w:rsid w:val="00644181"/>
    <w:rsid w:val="006448A7"/>
    <w:rsid w:val="0064795A"/>
    <w:rsid w:val="0065112E"/>
    <w:rsid w:val="0065152B"/>
    <w:rsid w:val="0065224A"/>
    <w:rsid w:val="00652BD6"/>
    <w:rsid w:val="0065405A"/>
    <w:rsid w:val="006547FC"/>
    <w:rsid w:val="00655A3E"/>
    <w:rsid w:val="00657D7A"/>
    <w:rsid w:val="006603BF"/>
    <w:rsid w:val="006604EA"/>
    <w:rsid w:val="00660F94"/>
    <w:rsid w:val="00663940"/>
    <w:rsid w:val="006649B7"/>
    <w:rsid w:val="00666600"/>
    <w:rsid w:val="00674D4C"/>
    <w:rsid w:val="00674E92"/>
    <w:rsid w:val="00677DB5"/>
    <w:rsid w:val="00677EE7"/>
    <w:rsid w:val="006801F2"/>
    <w:rsid w:val="00680E49"/>
    <w:rsid w:val="0068107A"/>
    <w:rsid w:val="00681B6E"/>
    <w:rsid w:val="0068263C"/>
    <w:rsid w:val="00682719"/>
    <w:rsid w:val="0068282B"/>
    <w:rsid w:val="0068447E"/>
    <w:rsid w:val="006854E2"/>
    <w:rsid w:val="00685B18"/>
    <w:rsid w:val="00687A96"/>
    <w:rsid w:val="00690660"/>
    <w:rsid w:val="00690671"/>
    <w:rsid w:val="006910AD"/>
    <w:rsid w:val="00692F49"/>
    <w:rsid w:val="00693956"/>
    <w:rsid w:val="00693CB2"/>
    <w:rsid w:val="0069695E"/>
    <w:rsid w:val="00696A9C"/>
    <w:rsid w:val="006979EB"/>
    <w:rsid w:val="006A16FC"/>
    <w:rsid w:val="006A422D"/>
    <w:rsid w:val="006A4885"/>
    <w:rsid w:val="006A4941"/>
    <w:rsid w:val="006A5908"/>
    <w:rsid w:val="006B1309"/>
    <w:rsid w:val="006B2288"/>
    <w:rsid w:val="006B313F"/>
    <w:rsid w:val="006B3887"/>
    <w:rsid w:val="006B3E5E"/>
    <w:rsid w:val="006B4654"/>
    <w:rsid w:val="006B66FC"/>
    <w:rsid w:val="006C068B"/>
    <w:rsid w:val="006C14F6"/>
    <w:rsid w:val="006C224A"/>
    <w:rsid w:val="006C3108"/>
    <w:rsid w:val="006C6254"/>
    <w:rsid w:val="006C7623"/>
    <w:rsid w:val="006D0B36"/>
    <w:rsid w:val="006D0B81"/>
    <w:rsid w:val="006D1827"/>
    <w:rsid w:val="006D4285"/>
    <w:rsid w:val="006D5A36"/>
    <w:rsid w:val="006D7894"/>
    <w:rsid w:val="006D7F47"/>
    <w:rsid w:val="006E05BA"/>
    <w:rsid w:val="006E14AA"/>
    <w:rsid w:val="006E23A1"/>
    <w:rsid w:val="006E3D66"/>
    <w:rsid w:val="006E589B"/>
    <w:rsid w:val="006F31F7"/>
    <w:rsid w:val="006F68A7"/>
    <w:rsid w:val="00701831"/>
    <w:rsid w:val="007019F0"/>
    <w:rsid w:val="00702412"/>
    <w:rsid w:val="00702F05"/>
    <w:rsid w:val="00707511"/>
    <w:rsid w:val="007125A4"/>
    <w:rsid w:val="007127A5"/>
    <w:rsid w:val="00713329"/>
    <w:rsid w:val="00716F0D"/>
    <w:rsid w:val="00717305"/>
    <w:rsid w:val="007178D4"/>
    <w:rsid w:val="00720942"/>
    <w:rsid w:val="00720962"/>
    <w:rsid w:val="007215AA"/>
    <w:rsid w:val="00722E6C"/>
    <w:rsid w:val="007240F0"/>
    <w:rsid w:val="00724BA3"/>
    <w:rsid w:val="00726341"/>
    <w:rsid w:val="00732F2D"/>
    <w:rsid w:val="007343D4"/>
    <w:rsid w:val="007347D4"/>
    <w:rsid w:val="00735ADD"/>
    <w:rsid w:val="00736C58"/>
    <w:rsid w:val="00737447"/>
    <w:rsid w:val="00740093"/>
    <w:rsid w:val="00741306"/>
    <w:rsid w:val="00741DC5"/>
    <w:rsid w:val="0074269D"/>
    <w:rsid w:val="007432D5"/>
    <w:rsid w:val="00743DB9"/>
    <w:rsid w:val="0074586E"/>
    <w:rsid w:val="00746A38"/>
    <w:rsid w:val="00747C6D"/>
    <w:rsid w:val="00750DB0"/>
    <w:rsid w:val="007512FA"/>
    <w:rsid w:val="007521DD"/>
    <w:rsid w:val="00752455"/>
    <w:rsid w:val="00752DF0"/>
    <w:rsid w:val="00753884"/>
    <w:rsid w:val="007538FF"/>
    <w:rsid w:val="007554C5"/>
    <w:rsid w:val="00756D70"/>
    <w:rsid w:val="00757785"/>
    <w:rsid w:val="00757EC0"/>
    <w:rsid w:val="00757F5A"/>
    <w:rsid w:val="0076051C"/>
    <w:rsid w:val="007606E3"/>
    <w:rsid w:val="00760DAD"/>
    <w:rsid w:val="007613A5"/>
    <w:rsid w:val="00761BD4"/>
    <w:rsid w:val="00761CF7"/>
    <w:rsid w:val="0076267A"/>
    <w:rsid w:val="0076290C"/>
    <w:rsid w:val="00767D4E"/>
    <w:rsid w:val="00767E50"/>
    <w:rsid w:val="00772CD3"/>
    <w:rsid w:val="007735DC"/>
    <w:rsid w:val="007736B3"/>
    <w:rsid w:val="00774106"/>
    <w:rsid w:val="007759BB"/>
    <w:rsid w:val="0078084C"/>
    <w:rsid w:val="00780A53"/>
    <w:rsid w:val="00780D85"/>
    <w:rsid w:val="007821D5"/>
    <w:rsid w:val="00783DD4"/>
    <w:rsid w:val="00783FA4"/>
    <w:rsid w:val="007846D2"/>
    <w:rsid w:val="00786C56"/>
    <w:rsid w:val="007916F9"/>
    <w:rsid w:val="007927F4"/>
    <w:rsid w:val="00792FA2"/>
    <w:rsid w:val="007932EA"/>
    <w:rsid w:val="0079424A"/>
    <w:rsid w:val="0079453B"/>
    <w:rsid w:val="007945E1"/>
    <w:rsid w:val="00794F34"/>
    <w:rsid w:val="007958CE"/>
    <w:rsid w:val="007959F9"/>
    <w:rsid w:val="0079657E"/>
    <w:rsid w:val="007966BC"/>
    <w:rsid w:val="00797577"/>
    <w:rsid w:val="007A1A25"/>
    <w:rsid w:val="007A2ABF"/>
    <w:rsid w:val="007A4AD4"/>
    <w:rsid w:val="007A53A9"/>
    <w:rsid w:val="007A6238"/>
    <w:rsid w:val="007A6568"/>
    <w:rsid w:val="007B0161"/>
    <w:rsid w:val="007B07CA"/>
    <w:rsid w:val="007B0B4F"/>
    <w:rsid w:val="007B10D2"/>
    <w:rsid w:val="007B3FD9"/>
    <w:rsid w:val="007B4DC1"/>
    <w:rsid w:val="007B628B"/>
    <w:rsid w:val="007B63A8"/>
    <w:rsid w:val="007C00DF"/>
    <w:rsid w:val="007C1D6D"/>
    <w:rsid w:val="007C22E8"/>
    <w:rsid w:val="007C2884"/>
    <w:rsid w:val="007C299A"/>
    <w:rsid w:val="007C338C"/>
    <w:rsid w:val="007C3D4C"/>
    <w:rsid w:val="007C5D38"/>
    <w:rsid w:val="007D4369"/>
    <w:rsid w:val="007D5025"/>
    <w:rsid w:val="007D5A53"/>
    <w:rsid w:val="007D76DC"/>
    <w:rsid w:val="007E1431"/>
    <w:rsid w:val="007E1D09"/>
    <w:rsid w:val="007E3D1E"/>
    <w:rsid w:val="007E54B8"/>
    <w:rsid w:val="007E6F35"/>
    <w:rsid w:val="007E70EE"/>
    <w:rsid w:val="007E7F87"/>
    <w:rsid w:val="007F130E"/>
    <w:rsid w:val="007F2E02"/>
    <w:rsid w:val="007F4337"/>
    <w:rsid w:val="007F4AC7"/>
    <w:rsid w:val="007F4EA3"/>
    <w:rsid w:val="007F5261"/>
    <w:rsid w:val="00800A85"/>
    <w:rsid w:val="00805295"/>
    <w:rsid w:val="00805B83"/>
    <w:rsid w:val="008103CD"/>
    <w:rsid w:val="00810B35"/>
    <w:rsid w:val="00810E2C"/>
    <w:rsid w:val="008112AB"/>
    <w:rsid w:val="00814551"/>
    <w:rsid w:val="00820A19"/>
    <w:rsid w:val="0082145D"/>
    <w:rsid w:val="00823259"/>
    <w:rsid w:val="008278BB"/>
    <w:rsid w:val="00832FEF"/>
    <w:rsid w:val="00834321"/>
    <w:rsid w:val="00841938"/>
    <w:rsid w:val="00842FE0"/>
    <w:rsid w:val="00845267"/>
    <w:rsid w:val="008467C8"/>
    <w:rsid w:val="00847A5C"/>
    <w:rsid w:val="00850586"/>
    <w:rsid w:val="008511F7"/>
    <w:rsid w:val="00852856"/>
    <w:rsid w:val="00853720"/>
    <w:rsid w:val="008539C5"/>
    <w:rsid w:val="00853A23"/>
    <w:rsid w:val="008554B6"/>
    <w:rsid w:val="00855605"/>
    <w:rsid w:val="00857444"/>
    <w:rsid w:val="008575A4"/>
    <w:rsid w:val="008575C3"/>
    <w:rsid w:val="00860452"/>
    <w:rsid w:val="00860D60"/>
    <w:rsid w:val="00861472"/>
    <w:rsid w:val="00863234"/>
    <w:rsid w:val="008639BF"/>
    <w:rsid w:val="00863F74"/>
    <w:rsid w:val="0087092A"/>
    <w:rsid w:val="00870FAC"/>
    <w:rsid w:val="008716E2"/>
    <w:rsid w:val="00871DDC"/>
    <w:rsid w:val="0087352A"/>
    <w:rsid w:val="0087421C"/>
    <w:rsid w:val="008747DF"/>
    <w:rsid w:val="008757FE"/>
    <w:rsid w:val="0087654F"/>
    <w:rsid w:val="00876E08"/>
    <w:rsid w:val="00877723"/>
    <w:rsid w:val="00881958"/>
    <w:rsid w:val="00883F6C"/>
    <w:rsid w:val="008859F5"/>
    <w:rsid w:val="00885B01"/>
    <w:rsid w:val="00886C21"/>
    <w:rsid w:val="0088718D"/>
    <w:rsid w:val="00887663"/>
    <w:rsid w:val="008915B5"/>
    <w:rsid w:val="00892BA1"/>
    <w:rsid w:val="00892E42"/>
    <w:rsid w:val="00894BD6"/>
    <w:rsid w:val="0089647D"/>
    <w:rsid w:val="008A0258"/>
    <w:rsid w:val="008A0534"/>
    <w:rsid w:val="008A0DBB"/>
    <w:rsid w:val="008A166A"/>
    <w:rsid w:val="008A47FD"/>
    <w:rsid w:val="008A48E6"/>
    <w:rsid w:val="008A522D"/>
    <w:rsid w:val="008A6AA9"/>
    <w:rsid w:val="008B287C"/>
    <w:rsid w:val="008B4F2C"/>
    <w:rsid w:val="008B51A5"/>
    <w:rsid w:val="008C026E"/>
    <w:rsid w:val="008C1D86"/>
    <w:rsid w:val="008C244E"/>
    <w:rsid w:val="008C4301"/>
    <w:rsid w:val="008C44E1"/>
    <w:rsid w:val="008C4916"/>
    <w:rsid w:val="008C4E62"/>
    <w:rsid w:val="008C5B30"/>
    <w:rsid w:val="008C601E"/>
    <w:rsid w:val="008C75C4"/>
    <w:rsid w:val="008C79D5"/>
    <w:rsid w:val="008D02F7"/>
    <w:rsid w:val="008D0804"/>
    <w:rsid w:val="008D3E28"/>
    <w:rsid w:val="008D7D3F"/>
    <w:rsid w:val="008E34CA"/>
    <w:rsid w:val="008E46D7"/>
    <w:rsid w:val="008E5584"/>
    <w:rsid w:val="008F0BB4"/>
    <w:rsid w:val="008F13E3"/>
    <w:rsid w:val="008F1665"/>
    <w:rsid w:val="008F1D98"/>
    <w:rsid w:val="008F29DC"/>
    <w:rsid w:val="008F4552"/>
    <w:rsid w:val="008F5564"/>
    <w:rsid w:val="008F5CDA"/>
    <w:rsid w:val="008F64F2"/>
    <w:rsid w:val="008F6857"/>
    <w:rsid w:val="00904DD5"/>
    <w:rsid w:val="009067A0"/>
    <w:rsid w:val="00906B03"/>
    <w:rsid w:val="009071B5"/>
    <w:rsid w:val="00907298"/>
    <w:rsid w:val="0091074A"/>
    <w:rsid w:val="00911333"/>
    <w:rsid w:val="00915018"/>
    <w:rsid w:val="00915AA3"/>
    <w:rsid w:val="0091687E"/>
    <w:rsid w:val="00916AF5"/>
    <w:rsid w:val="00916D5B"/>
    <w:rsid w:val="00923E11"/>
    <w:rsid w:val="00924767"/>
    <w:rsid w:val="00927A18"/>
    <w:rsid w:val="00930391"/>
    <w:rsid w:val="00931434"/>
    <w:rsid w:val="00931EA4"/>
    <w:rsid w:val="00934689"/>
    <w:rsid w:val="0093470B"/>
    <w:rsid w:val="00935E85"/>
    <w:rsid w:val="00936738"/>
    <w:rsid w:val="00942141"/>
    <w:rsid w:val="00942B5A"/>
    <w:rsid w:val="0094390D"/>
    <w:rsid w:val="00943FCA"/>
    <w:rsid w:val="00944425"/>
    <w:rsid w:val="00945C06"/>
    <w:rsid w:val="00946708"/>
    <w:rsid w:val="0094753B"/>
    <w:rsid w:val="00947F94"/>
    <w:rsid w:val="009522B0"/>
    <w:rsid w:val="009524D5"/>
    <w:rsid w:val="009536BA"/>
    <w:rsid w:val="00954422"/>
    <w:rsid w:val="00954C5C"/>
    <w:rsid w:val="0096031E"/>
    <w:rsid w:val="00960FB7"/>
    <w:rsid w:val="00961096"/>
    <w:rsid w:val="00961676"/>
    <w:rsid w:val="009616E9"/>
    <w:rsid w:val="0096363F"/>
    <w:rsid w:val="00970BFB"/>
    <w:rsid w:val="00970D9A"/>
    <w:rsid w:val="00972661"/>
    <w:rsid w:val="00974B43"/>
    <w:rsid w:val="00974CAC"/>
    <w:rsid w:val="009755D5"/>
    <w:rsid w:val="00975714"/>
    <w:rsid w:val="00977083"/>
    <w:rsid w:val="00977EBD"/>
    <w:rsid w:val="009815B2"/>
    <w:rsid w:val="00981EF0"/>
    <w:rsid w:val="00981F01"/>
    <w:rsid w:val="009820D3"/>
    <w:rsid w:val="00983CAA"/>
    <w:rsid w:val="0099089F"/>
    <w:rsid w:val="00993E57"/>
    <w:rsid w:val="009953AC"/>
    <w:rsid w:val="00996989"/>
    <w:rsid w:val="00996EF8"/>
    <w:rsid w:val="009A07DA"/>
    <w:rsid w:val="009A1B71"/>
    <w:rsid w:val="009A49E8"/>
    <w:rsid w:val="009A523B"/>
    <w:rsid w:val="009A6E68"/>
    <w:rsid w:val="009A6E69"/>
    <w:rsid w:val="009A7744"/>
    <w:rsid w:val="009B010E"/>
    <w:rsid w:val="009B1897"/>
    <w:rsid w:val="009B1E39"/>
    <w:rsid w:val="009B3873"/>
    <w:rsid w:val="009B5133"/>
    <w:rsid w:val="009C04D4"/>
    <w:rsid w:val="009C24D3"/>
    <w:rsid w:val="009C279C"/>
    <w:rsid w:val="009C683C"/>
    <w:rsid w:val="009C7E82"/>
    <w:rsid w:val="009D082A"/>
    <w:rsid w:val="009D1449"/>
    <w:rsid w:val="009D1B69"/>
    <w:rsid w:val="009D32DE"/>
    <w:rsid w:val="009E087B"/>
    <w:rsid w:val="009E0DE7"/>
    <w:rsid w:val="009E0E77"/>
    <w:rsid w:val="009E1274"/>
    <w:rsid w:val="009E279C"/>
    <w:rsid w:val="009E34A1"/>
    <w:rsid w:val="009E3508"/>
    <w:rsid w:val="009E42E5"/>
    <w:rsid w:val="009E7D54"/>
    <w:rsid w:val="009F0861"/>
    <w:rsid w:val="009F0EF1"/>
    <w:rsid w:val="009F2A09"/>
    <w:rsid w:val="009F2EE3"/>
    <w:rsid w:val="009F5CB3"/>
    <w:rsid w:val="009F6178"/>
    <w:rsid w:val="009F6746"/>
    <w:rsid w:val="00A00030"/>
    <w:rsid w:val="00A013D4"/>
    <w:rsid w:val="00A0350B"/>
    <w:rsid w:val="00A038DB"/>
    <w:rsid w:val="00A06397"/>
    <w:rsid w:val="00A07441"/>
    <w:rsid w:val="00A13898"/>
    <w:rsid w:val="00A2149D"/>
    <w:rsid w:val="00A227A6"/>
    <w:rsid w:val="00A231DE"/>
    <w:rsid w:val="00A24773"/>
    <w:rsid w:val="00A24BD1"/>
    <w:rsid w:val="00A2611C"/>
    <w:rsid w:val="00A3175E"/>
    <w:rsid w:val="00A34A7A"/>
    <w:rsid w:val="00A34EAF"/>
    <w:rsid w:val="00A35A5F"/>
    <w:rsid w:val="00A3652E"/>
    <w:rsid w:val="00A37747"/>
    <w:rsid w:val="00A37CE7"/>
    <w:rsid w:val="00A40608"/>
    <w:rsid w:val="00A40F70"/>
    <w:rsid w:val="00A41EA3"/>
    <w:rsid w:val="00A43E62"/>
    <w:rsid w:val="00A4558E"/>
    <w:rsid w:val="00A51D85"/>
    <w:rsid w:val="00A53B9D"/>
    <w:rsid w:val="00A55174"/>
    <w:rsid w:val="00A57FBD"/>
    <w:rsid w:val="00A657A8"/>
    <w:rsid w:val="00A66044"/>
    <w:rsid w:val="00A71AE5"/>
    <w:rsid w:val="00A72F4E"/>
    <w:rsid w:val="00A7337C"/>
    <w:rsid w:val="00A73562"/>
    <w:rsid w:val="00A74FD2"/>
    <w:rsid w:val="00A75371"/>
    <w:rsid w:val="00A756A6"/>
    <w:rsid w:val="00A758A0"/>
    <w:rsid w:val="00A80119"/>
    <w:rsid w:val="00A819C6"/>
    <w:rsid w:val="00A86EF6"/>
    <w:rsid w:val="00A87F8B"/>
    <w:rsid w:val="00A904FA"/>
    <w:rsid w:val="00A90EE8"/>
    <w:rsid w:val="00A92787"/>
    <w:rsid w:val="00A948C8"/>
    <w:rsid w:val="00A95824"/>
    <w:rsid w:val="00A95D28"/>
    <w:rsid w:val="00A95FA2"/>
    <w:rsid w:val="00A96675"/>
    <w:rsid w:val="00A97578"/>
    <w:rsid w:val="00AA0585"/>
    <w:rsid w:val="00AA077B"/>
    <w:rsid w:val="00AA11F4"/>
    <w:rsid w:val="00AA3352"/>
    <w:rsid w:val="00AA353B"/>
    <w:rsid w:val="00AA4968"/>
    <w:rsid w:val="00AA5E80"/>
    <w:rsid w:val="00AA634E"/>
    <w:rsid w:val="00AA7AF4"/>
    <w:rsid w:val="00AB16B9"/>
    <w:rsid w:val="00AB7200"/>
    <w:rsid w:val="00AB769E"/>
    <w:rsid w:val="00AB79A2"/>
    <w:rsid w:val="00AD0744"/>
    <w:rsid w:val="00AD1ABC"/>
    <w:rsid w:val="00AD4477"/>
    <w:rsid w:val="00AE03F3"/>
    <w:rsid w:val="00AE1B78"/>
    <w:rsid w:val="00AE2148"/>
    <w:rsid w:val="00AE3383"/>
    <w:rsid w:val="00AE53D9"/>
    <w:rsid w:val="00AF1C98"/>
    <w:rsid w:val="00AF2C2E"/>
    <w:rsid w:val="00AF37FC"/>
    <w:rsid w:val="00AF3CE2"/>
    <w:rsid w:val="00B02221"/>
    <w:rsid w:val="00B10063"/>
    <w:rsid w:val="00B117A3"/>
    <w:rsid w:val="00B11970"/>
    <w:rsid w:val="00B12838"/>
    <w:rsid w:val="00B12E4F"/>
    <w:rsid w:val="00B1305A"/>
    <w:rsid w:val="00B14BCF"/>
    <w:rsid w:val="00B1563A"/>
    <w:rsid w:val="00B15951"/>
    <w:rsid w:val="00B15A51"/>
    <w:rsid w:val="00B160AE"/>
    <w:rsid w:val="00B173D1"/>
    <w:rsid w:val="00B2097B"/>
    <w:rsid w:val="00B20AD1"/>
    <w:rsid w:val="00B217A9"/>
    <w:rsid w:val="00B244AC"/>
    <w:rsid w:val="00B25A99"/>
    <w:rsid w:val="00B25CE0"/>
    <w:rsid w:val="00B30AFA"/>
    <w:rsid w:val="00B319A4"/>
    <w:rsid w:val="00B31A0C"/>
    <w:rsid w:val="00B32EC0"/>
    <w:rsid w:val="00B33757"/>
    <w:rsid w:val="00B34362"/>
    <w:rsid w:val="00B34EDA"/>
    <w:rsid w:val="00B3650E"/>
    <w:rsid w:val="00B3786E"/>
    <w:rsid w:val="00B4130C"/>
    <w:rsid w:val="00B41420"/>
    <w:rsid w:val="00B41AF7"/>
    <w:rsid w:val="00B44691"/>
    <w:rsid w:val="00B44A2E"/>
    <w:rsid w:val="00B45BFD"/>
    <w:rsid w:val="00B4785B"/>
    <w:rsid w:val="00B51A0A"/>
    <w:rsid w:val="00B520AE"/>
    <w:rsid w:val="00B52715"/>
    <w:rsid w:val="00B528EE"/>
    <w:rsid w:val="00B52917"/>
    <w:rsid w:val="00B52B61"/>
    <w:rsid w:val="00B5548C"/>
    <w:rsid w:val="00B5642D"/>
    <w:rsid w:val="00B6197E"/>
    <w:rsid w:val="00B61DFF"/>
    <w:rsid w:val="00B6387B"/>
    <w:rsid w:val="00B6429C"/>
    <w:rsid w:val="00B65A4F"/>
    <w:rsid w:val="00B662D9"/>
    <w:rsid w:val="00B7467D"/>
    <w:rsid w:val="00B74B31"/>
    <w:rsid w:val="00B74E1F"/>
    <w:rsid w:val="00B82455"/>
    <w:rsid w:val="00B824A9"/>
    <w:rsid w:val="00B82645"/>
    <w:rsid w:val="00B82B7F"/>
    <w:rsid w:val="00B832C1"/>
    <w:rsid w:val="00B839A4"/>
    <w:rsid w:val="00B852CE"/>
    <w:rsid w:val="00B92010"/>
    <w:rsid w:val="00B93D3B"/>
    <w:rsid w:val="00B94C01"/>
    <w:rsid w:val="00B94E92"/>
    <w:rsid w:val="00B95732"/>
    <w:rsid w:val="00B958CB"/>
    <w:rsid w:val="00B967E2"/>
    <w:rsid w:val="00B97330"/>
    <w:rsid w:val="00BA08AB"/>
    <w:rsid w:val="00BA0A7E"/>
    <w:rsid w:val="00BA0DAF"/>
    <w:rsid w:val="00BA1D80"/>
    <w:rsid w:val="00BA6273"/>
    <w:rsid w:val="00BA63F5"/>
    <w:rsid w:val="00BA6D37"/>
    <w:rsid w:val="00BA7E04"/>
    <w:rsid w:val="00BB0A46"/>
    <w:rsid w:val="00BB1CE9"/>
    <w:rsid w:val="00BB49E1"/>
    <w:rsid w:val="00BB4B77"/>
    <w:rsid w:val="00BB5D15"/>
    <w:rsid w:val="00BC2DD5"/>
    <w:rsid w:val="00BC2F90"/>
    <w:rsid w:val="00BC3008"/>
    <w:rsid w:val="00BC3241"/>
    <w:rsid w:val="00BC4C22"/>
    <w:rsid w:val="00BC5A03"/>
    <w:rsid w:val="00BC6A6F"/>
    <w:rsid w:val="00BD1123"/>
    <w:rsid w:val="00BD11AE"/>
    <w:rsid w:val="00BD183E"/>
    <w:rsid w:val="00BD3710"/>
    <w:rsid w:val="00BD4428"/>
    <w:rsid w:val="00BD68F9"/>
    <w:rsid w:val="00BD6E61"/>
    <w:rsid w:val="00BE1396"/>
    <w:rsid w:val="00BE2264"/>
    <w:rsid w:val="00BE4D6E"/>
    <w:rsid w:val="00BE4F4F"/>
    <w:rsid w:val="00BE6204"/>
    <w:rsid w:val="00BF2B81"/>
    <w:rsid w:val="00BF2FD9"/>
    <w:rsid w:val="00BF3EA8"/>
    <w:rsid w:val="00BF528B"/>
    <w:rsid w:val="00BF6955"/>
    <w:rsid w:val="00C00A26"/>
    <w:rsid w:val="00C00AE6"/>
    <w:rsid w:val="00C00D41"/>
    <w:rsid w:val="00C04545"/>
    <w:rsid w:val="00C05983"/>
    <w:rsid w:val="00C05C0B"/>
    <w:rsid w:val="00C10D36"/>
    <w:rsid w:val="00C10DFB"/>
    <w:rsid w:val="00C12D0D"/>
    <w:rsid w:val="00C14591"/>
    <w:rsid w:val="00C16486"/>
    <w:rsid w:val="00C17BDC"/>
    <w:rsid w:val="00C205D2"/>
    <w:rsid w:val="00C22453"/>
    <w:rsid w:val="00C23179"/>
    <w:rsid w:val="00C252EB"/>
    <w:rsid w:val="00C2637D"/>
    <w:rsid w:val="00C272F5"/>
    <w:rsid w:val="00C3135C"/>
    <w:rsid w:val="00C328FE"/>
    <w:rsid w:val="00C37E3D"/>
    <w:rsid w:val="00C41CBE"/>
    <w:rsid w:val="00C42D77"/>
    <w:rsid w:val="00C4611B"/>
    <w:rsid w:val="00C47110"/>
    <w:rsid w:val="00C476A9"/>
    <w:rsid w:val="00C476EB"/>
    <w:rsid w:val="00C50E84"/>
    <w:rsid w:val="00C5110E"/>
    <w:rsid w:val="00C51AAD"/>
    <w:rsid w:val="00C562E7"/>
    <w:rsid w:val="00C575C4"/>
    <w:rsid w:val="00C62B75"/>
    <w:rsid w:val="00C6395E"/>
    <w:rsid w:val="00C64ED1"/>
    <w:rsid w:val="00C7260A"/>
    <w:rsid w:val="00C72A89"/>
    <w:rsid w:val="00C76CD8"/>
    <w:rsid w:val="00C824FF"/>
    <w:rsid w:val="00C863B3"/>
    <w:rsid w:val="00C86FBA"/>
    <w:rsid w:val="00C9094C"/>
    <w:rsid w:val="00C92A4A"/>
    <w:rsid w:val="00C932B8"/>
    <w:rsid w:val="00C94CE6"/>
    <w:rsid w:val="00C96607"/>
    <w:rsid w:val="00C97A7C"/>
    <w:rsid w:val="00CA5081"/>
    <w:rsid w:val="00CB02E8"/>
    <w:rsid w:val="00CB09F8"/>
    <w:rsid w:val="00CB1D2B"/>
    <w:rsid w:val="00CB2399"/>
    <w:rsid w:val="00CB4903"/>
    <w:rsid w:val="00CB6D31"/>
    <w:rsid w:val="00CC0C43"/>
    <w:rsid w:val="00CC1FF9"/>
    <w:rsid w:val="00CC2B5A"/>
    <w:rsid w:val="00CC79D1"/>
    <w:rsid w:val="00CD0088"/>
    <w:rsid w:val="00CD09EB"/>
    <w:rsid w:val="00CD24EE"/>
    <w:rsid w:val="00CD60A0"/>
    <w:rsid w:val="00CE022A"/>
    <w:rsid w:val="00CE1CE7"/>
    <w:rsid w:val="00CE3A07"/>
    <w:rsid w:val="00CE7C81"/>
    <w:rsid w:val="00CE7F09"/>
    <w:rsid w:val="00CF1857"/>
    <w:rsid w:val="00CF2846"/>
    <w:rsid w:val="00CF6487"/>
    <w:rsid w:val="00CF7951"/>
    <w:rsid w:val="00D007C2"/>
    <w:rsid w:val="00D00FD3"/>
    <w:rsid w:val="00D03410"/>
    <w:rsid w:val="00D035CC"/>
    <w:rsid w:val="00D048A1"/>
    <w:rsid w:val="00D06865"/>
    <w:rsid w:val="00D1037E"/>
    <w:rsid w:val="00D10857"/>
    <w:rsid w:val="00D12994"/>
    <w:rsid w:val="00D13F80"/>
    <w:rsid w:val="00D16350"/>
    <w:rsid w:val="00D16598"/>
    <w:rsid w:val="00D221F1"/>
    <w:rsid w:val="00D22954"/>
    <w:rsid w:val="00D23775"/>
    <w:rsid w:val="00D2496B"/>
    <w:rsid w:val="00D24CAE"/>
    <w:rsid w:val="00D24CC8"/>
    <w:rsid w:val="00D25398"/>
    <w:rsid w:val="00D25A30"/>
    <w:rsid w:val="00D318A4"/>
    <w:rsid w:val="00D35A24"/>
    <w:rsid w:val="00D4125B"/>
    <w:rsid w:val="00D42436"/>
    <w:rsid w:val="00D440F3"/>
    <w:rsid w:val="00D47385"/>
    <w:rsid w:val="00D47975"/>
    <w:rsid w:val="00D47C3D"/>
    <w:rsid w:val="00D47DCF"/>
    <w:rsid w:val="00D51B71"/>
    <w:rsid w:val="00D52250"/>
    <w:rsid w:val="00D5512B"/>
    <w:rsid w:val="00D5603A"/>
    <w:rsid w:val="00D566ED"/>
    <w:rsid w:val="00D57C3D"/>
    <w:rsid w:val="00D62F88"/>
    <w:rsid w:val="00D6316A"/>
    <w:rsid w:val="00D642EE"/>
    <w:rsid w:val="00D64339"/>
    <w:rsid w:val="00D65EB4"/>
    <w:rsid w:val="00D70AE4"/>
    <w:rsid w:val="00D716D4"/>
    <w:rsid w:val="00D71D91"/>
    <w:rsid w:val="00D748EC"/>
    <w:rsid w:val="00D77DC5"/>
    <w:rsid w:val="00D83B4A"/>
    <w:rsid w:val="00D84181"/>
    <w:rsid w:val="00D851B9"/>
    <w:rsid w:val="00D8617C"/>
    <w:rsid w:val="00D870B2"/>
    <w:rsid w:val="00D87329"/>
    <w:rsid w:val="00D87A00"/>
    <w:rsid w:val="00D90400"/>
    <w:rsid w:val="00D90F2B"/>
    <w:rsid w:val="00D9161F"/>
    <w:rsid w:val="00D91671"/>
    <w:rsid w:val="00D922B0"/>
    <w:rsid w:val="00D93DE3"/>
    <w:rsid w:val="00D9557C"/>
    <w:rsid w:val="00D96276"/>
    <w:rsid w:val="00D96C70"/>
    <w:rsid w:val="00D97628"/>
    <w:rsid w:val="00DA1505"/>
    <w:rsid w:val="00DA18BC"/>
    <w:rsid w:val="00DA24EF"/>
    <w:rsid w:val="00DA29BA"/>
    <w:rsid w:val="00DA2EDA"/>
    <w:rsid w:val="00DA3145"/>
    <w:rsid w:val="00DA650B"/>
    <w:rsid w:val="00DA7773"/>
    <w:rsid w:val="00DB1A63"/>
    <w:rsid w:val="00DB23BE"/>
    <w:rsid w:val="00DB39B8"/>
    <w:rsid w:val="00DB650B"/>
    <w:rsid w:val="00DB7DC7"/>
    <w:rsid w:val="00DC191A"/>
    <w:rsid w:val="00DC393C"/>
    <w:rsid w:val="00DC601A"/>
    <w:rsid w:val="00DC6F25"/>
    <w:rsid w:val="00DD1553"/>
    <w:rsid w:val="00DD4CDD"/>
    <w:rsid w:val="00DE1B0D"/>
    <w:rsid w:val="00DE2941"/>
    <w:rsid w:val="00DE5403"/>
    <w:rsid w:val="00DE5C12"/>
    <w:rsid w:val="00DE5F74"/>
    <w:rsid w:val="00DF2B1F"/>
    <w:rsid w:val="00DF443E"/>
    <w:rsid w:val="00DF462D"/>
    <w:rsid w:val="00DF73D2"/>
    <w:rsid w:val="00DF7D28"/>
    <w:rsid w:val="00E01707"/>
    <w:rsid w:val="00E03EF3"/>
    <w:rsid w:val="00E06560"/>
    <w:rsid w:val="00E074AE"/>
    <w:rsid w:val="00E149D5"/>
    <w:rsid w:val="00E152E7"/>
    <w:rsid w:val="00E21FA7"/>
    <w:rsid w:val="00E240D5"/>
    <w:rsid w:val="00E2420F"/>
    <w:rsid w:val="00E25785"/>
    <w:rsid w:val="00E278D4"/>
    <w:rsid w:val="00E27F84"/>
    <w:rsid w:val="00E30098"/>
    <w:rsid w:val="00E31212"/>
    <w:rsid w:val="00E31E9B"/>
    <w:rsid w:val="00E3396E"/>
    <w:rsid w:val="00E3674B"/>
    <w:rsid w:val="00E433AB"/>
    <w:rsid w:val="00E45A6A"/>
    <w:rsid w:val="00E47442"/>
    <w:rsid w:val="00E4759C"/>
    <w:rsid w:val="00E47B2A"/>
    <w:rsid w:val="00E50A41"/>
    <w:rsid w:val="00E51AF7"/>
    <w:rsid w:val="00E51F52"/>
    <w:rsid w:val="00E524A0"/>
    <w:rsid w:val="00E53C81"/>
    <w:rsid w:val="00E541FA"/>
    <w:rsid w:val="00E54496"/>
    <w:rsid w:val="00E55D95"/>
    <w:rsid w:val="00E56085"/>
    <w:rsid w:val="00E60A39"/>
    <w:rsid w:val="00E6109C"/>
    <w:rsid w:val="00E61767"/>
    <w:rsid w:val="00E64065"/>
    <w:rsid w:val="00E649FC"/>
    <w:rsid w:val="00E6641F"/>
    <w:rsid w:val="00E66DE8"/>
    <w:rsid w:val="00E7099D"/>
    <w:rsid w:val="00E71DF9"/>
    <w:rsid w:val="00E72A4B"/>
    <w:rsid w:val="00E72F46"/>
    <w:rsid w:val="00E74BAB"/>
    <w:rsid w:val="00E74D69"/>
    <w:rsid w:val="00E760C0"/>
    <w:rsid w:val="00E76724"/>
    <w:rsid w:val="00E767FB"/>
    <w:rsid w:val="00E800B3"/>
    <w:rsid w:val="00E81827"/>
    <w:rsid w:val="00E91117"/>
    <w:rsid w:val="00E9238C"/>
    <w:rsid w:val="00E93F2C"/>
    <w:rsid w:val="00E964BF"/>
    <w:rsid w:val="00E97011"/>
    <w:rsid w:val="00EA0B74"/>
    <w:rsid w:val="00EA149B"/>
    <w:rsid w:val="00EA2C40"/>
    <w:rsid w:val="00EA2E03"/>
    <w:rsid w:val="00EA330B"/>
    <w:rsid w:val="00EA4375"/>
    <w:rsid w:val="00EA43D4"/>
    <w:rsid w:val="00EA51D0"/>
    <w:rsid w:val="00EA5C4C"/>
    <w:rsid w:val="00EA6C58"/>
    <w:rsid w:val="00EB4222"/>
    <w:rsid w:val="00EB6B8C"/>
    <w:rsid w:val="00EB6ECC"/>
    <w:rsid w:val="00EB74F9"/>
    <w:rsid w:val="00EB7D2A"/>
    <w:rsid w:val="00EC03A7"/>
    <w:rsid w:val="00EC110B"/>
    <w:rsid w:val="00EC2819"/>
    <w:rsid w:val="00EC32B3"/>
    <w:rsid w:val="00EC33DD"/>
    <w:rsid w:val="00EC454B"/>
    <w:rsid w:val="00EC4A30"/>
    <w:rsid w:val="00EC5FB1"/>
    <w:rsid w:val="00EC6DB2"/>
    <w:rsid w:val="00ED1DA1"/>
    <w:rsid w:val="00ED2950"/>
    <w:rsid w:val="00EE101B"/>
    <w:rsid w:val="00EE247B"/>
    <w:rsid w:val="00EE4F28"/>
    <w:rsid w:val="00EE5098"/>
    <w:rsid w:val="00EE511F"/>
    <w:rsid w:val="00EE76DA"/>
    <w:rsid w:val="00EF1296"/>
    <w:rsid w:val="00EF64B5"/>
    <w:rsid w:val="00EF757A"/>
    <w:rsid w:val="00F00B8C"/>
    <w:rsid w:val="00F0137F"/>
    <w:rsid w:val="00F01A40"/>
    <w:rsid w:val="00F033CA"/>
    <w:rsid w:val="00F03D01"/>
    <w:rsid w:val="00F04B52"/>
    <w:rsid w:val="00F122BA"/>
    <w:rsid w:val="00F138A3"/>
    <w:rsid w:val="00F15B23"/>
    <w:rsid w:val="00F15D4B"/>
    <w:rsid w:val="00F16049"/>
    <w:rsid w:val="00F16B98"/>
    <w:rsid w:val="00F20237"/>
    <w:rsid w:val="00F208C3"/>
    <w:rsid w:val="00F2271A"/>
    <w:rsid w:val="00F26A4D"/>
    <w:rsid w:val="00F27F14"/>
    <w:rsid w:val="00F308A5"/>
    <w:rsid w:val="00F30E85"/>
    <w:rsid w:val="00F31C0C"/>
    <w:rsid w:val="00F329B2"/>
    <w:rsid w:val="00F344E1"/>
    <w:rsid w:val="00F41E19"/>
    <w:rsid w:val="00F43DEF"/>
    <w:rsid w:val="00F43EF5"/>
    <w:rsid w:val="00F442C4"/>
    <w:rsid w:val="00F45D84"/>
    <w:rsid w:val="00F46734"/>
    <w:rsid w:val="00F503B9"/>
    <w:rsid w:val="00F509F9"/>
    <w:rsid w:val="00F50B28"/>
    <w:rsid w:val="00F52F81"/>
    <w:rsid w:val="00F53F59"/>
    <w:rsid w:val="00F545A0"/>
    <w:rsid w:val="00F57F6B"/>
    <w:rsid w:val="00F62268"/>
    <w:rsid w:val="00F62AAB"/>
    <w:rsid w:val="00F643C7"/>
    <w:rsid w:val="00F64444"/>
    <w:rsid w:val="00F65EC2"/>
    <w:rsid w:val="00F66002"/>
    <w:rsid w:val="00F6638D"/>
    <w:rsid w:val="00F66AB8"/>
    <w:rsid w:val="00F67181"/>
    <w:rsid w:val="00F671F1"/>
    <w:rsid w:val="00F6727A"/>
    <w:rsid w:val="00F701DA"/>
    <w:rsid w:val="00F70D1E"/>
    <w:rsid w:val="00F72168"/>
    <w:rsid w:val="00F73745"/>
    <w:rsid w:val="00F80818"/>
    <w:rsid w:val="00F81A98"/>
    <w:rsid w:val="00F83295"/>
    <w:rsid w:val="00F83638"/>
    <w:rsid w:val="00F876EC"/>
    <w:rsid w:val="00F90AA6"/>
    <w:rsid w:val="00F90EC7"/>
    <w:rsid w:val="00F912A9"/>
    <w:rsid w:val="00F92677"/>
    <w:rsid w:val="00F93849"/>
    <w:rsid w:val="00FA096B"/>
    <w:rsid w:val="00FA1139"/>
    <w:rsid w:val="00FA1716"/>
    <w:rsid w:val="00FA1C5B"/>
    <w:rsid w:val="00FA66FB"/>
    <w:rsid w:val="00FB062E"/>
    <w:rsid w:val="00FB0B6A"/>
    <w:rsid w:val="00FB0C71"/>
    <w:rsid w:val="00FB0CB2"/>
    <w:rsid w:val="00FB32E3"/>
    <w:rsid w:val="00FB4AF5"/>
    <w:rsid w:val="00FB69E5"/>
    <w:rsid w:val="00FB751B"/>
    <w:rsid w:val="00FC011D"/>
    <w:rsid w:val="00FC0E95"/>
    <w:rsid w:val="00FC0EB4"/>
    <w:rsid w:val="00FC27F9"/>
    <w:rsid w:val="00FC3050"/>
    <w:rsid w:val="00FC310D"/>
    <w:rsid w:val="00FC3309"/>
    <w:rsid w:val="00FC6689"/>
    <w:rsid w:val="00FD1398"/>
    <w:rsid w:val="00FD2D41"/>
    <w:rsid w:val="00FD2DA7"/>
    <w:rsid w:val="00FD3E6F"/>
    <w:rsid w:val="00FD43A6"/>
    <w:rsid w:val="00FD45D7"/>
    <w:rsid w:val="00FD5B2C"/>
    <w:rsid w:val="00FD607C"/>
    <w:rsid w:val="00FE0E6A"/>
    <w:rsid w:val="00FE25D9"/>
    <w:rsid w:val="00FE689C"/>
    <w:rsid w:val="00FF0404"/>
    <w:rsid w:val="00FF1ACE"/>
    <w:rsid w:val="00FF3D9E"/>
    <w:rsid w:val="00FF454B"/>
    <w:rsid w:val="00FF59EA"/>
    <w:rsid w:val="0F350FB7"/>
    <w:rsid w:val="35822AD2"/>
    <w:rsid w:val="3663420A"/>
    <w:rsid w:val="3EA90081"/>
    <w:rsid w:val="4C3100A0"/>
    <w:rsid w:val="546423D0"/>
    <w:rsid w:val="54FB430B"/>
    <w:rsid w:val="553B33F2"/>
    <w:rsid w:val="687F5A78"/>
    <w:rsid w:val="6B9F253A"/>
    <w:rsid w:val="74010783"/>
    <w:rsid w:val="75E648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Date"/>
    <w:basedOn w:val="1"/>
    <w:next w:val="1"/>
    <w:link w:val="12"/>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locked/>
    <w:uiPriority w:val="0"/>
    <w:rPr>
      <w:b/>
    </w:rPr>
  </w:style>
  <w:style w:type="character" w:customStyle="1" w:styleId="10">
    <w:name w:val="页眉 Char"/>
    <w:basedOn w:val="8"/>
    <w:link w:val="5"/>
    <w:semiHidden/>
    <w:qFormat/>
    <w:locked/>
    <w:uiPriority w:val="99"/>
    <w:rPr>
      <w:rFonts w:cs="Times New Roman"/>
      <w:sz w:val="18"/>
      <w:szCs w:val="18"/>
    </w:rPr>
  </w:style>
  <w:style w:type="character" w:customStyle="1" w:styleId="11">
    <w:name w:val="页脚 Char"/>
    <w:basedOn w:val="8"/>
    <w:link w:val="4"/>
    <w:qFormat/>
    <w:locked/>
    <w:uiPriority w:val="99"/>
    <w:rPr>
      <w:rFonts w:cs="Times New Roman"/>
      <w:sz w:val="18"/>
      <w:szCs w:val="18"/>
    </w:rPr>
  </w:style>
  <w:style w:type="character" w:customStyle="1" w:styleId="12">
    <w:name w:val="日期 Char"/>
    <w:basedOn w:val="8"/>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374</Words>
  <Characters>2138</Characters>
  <Lines>17</Lines>
  <Paragraphs>5</Paragraphs>
  <TotalTime>29</TotalTime>
  <ScaleCrop>false</ScaleCrop>
  <LinksUpToDate>false</LinksUpToDate>
  <CharactersWithSpaces>2507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2019-05-06T00:29:00Z</dcterms:created>
  <dc:creator>周娜</dc:creator>
  <cp:lastModifiedBy>钟林男</cp:lastModifiedBy>
  <dcterms:modified xsi:type="dcterms:W3CDTF">2022-02-21T02:49:48Z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